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44"/>
          <w:szCs w:val="44"/>
          <w:lang w:eastAsia="zh-CN"/>
        </w:rPr>
      </w:pPr>
      <w:r>
        <w:rPr>
          <w:rFonts w:hint="eastAsia" w:ascii="仿宋" w:hAnsi="仿宋" w:eastAsia="仿宋" w:cs="仿宋"/>
          <w:sz w:val="44"/>
          <w:szCs w:val="44"/>
          <w:lang w:eastAsia="zh-CN"/>
        </w:rPr>
        <w:t>确山县产业集聚区污水处理厂信息公示</w:t>
      </w:r>
      <w:bookmarkStart w:id="0" w:name="_GoBack"/>
      <w:bookmarkEnd w:id="0"/>
      <w:r>
        <w:rPr>
          <w:rFonts w:hint="eastAsia" w:ascii="仿宋" w:hAnsi="仿宋" w:eastAsia="仿宋" w:cs="仿宋"/>
          <w:sz w:val="44"/>
          <w:szCs w:val="44"/>
          <w:lang w:eastAsia="zh-CN"/>
        </w:rPr>
        <w:t>表</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一、基础信息</w:t>
      </w:r>
    </w:p>
    <w:p>
      <w:pPr>
        <w:pStyle w:val="5"/>
        <w:numPr>
          <w:ilvl w:val="0"/>
          <w:numId w:val="0"/>
        </w:numPr>
        <w:spacing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单位名称：</w:t>
      </w:r>
      <w:r>
        <w:rPr>
          <w:rFonts w:hint="eastAsia" w:ascii="仿宋" w:hAnsi="仿宋" w:eastAsia="仿宋" w:cs="仿宋"/>
          <w:sz w:val="32"/>
          <w:szCs w:val="32"/>
        </w:rPr>
        <w:t>确山县</w:t>
      </w:r>
      <w:r>
        <w:rPr>
          <w:rFonts w:hint="eastAsia" w:ascii="仿宋" w:hAnsi="仿宋" w:eastAsia="仿宋" w:cs="仿宋"/>
          <w:sz w:val="32"/>
          <w:szCs w:val="32"/>
          <w:lang w:eastAsia="zh-CN"/>
        </w:rPr>
        <w:t>产业集聚区</w:t>
      </w:r>
      <w:r>
        <w:rPr>
          <w:rFonts w:hint="eastAsia" w:ascii="仿宋" w:hAnsi="仿宋" w:eastAsia="仿宋" w:cs="仿宋"/>
          <w:sz w:val="32"/>
          <w:szCs w:val="32"/>
        </w:rPr>
        <w:t>污水处理厂</w:t>
      </w:r>
      <w:r>
        <w:rPr>
          <w:rFonts w:hint="eastAsia" w:ascii="仿宋" w:hAnsi="仿宋" w:eastAsia="仿宋" w:cs="仿宋"/>
          <w:sz w:val="32"/>
          <w:szCs w:val="32"/>
          <w:lang w:eastAsia="zh-CN"/>
        </w:rPr>
        <w:t>。</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组织机构代码：914117254188454815。</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法定代表人：王东升。</w:t>
      </w:r>
    </w:p>
    <w:p>
      <w:pPr>
        <w:pStyle w:val="5"/>
        <w:numPr>
          <w:ilvl w:val="0"/>
          <w:numId w:val="0"/>
        </w:numPr>
        <w:spacing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生产地址：确山县朗陵街道赵庄村。</w:t>
      </w:r>
    </w:p>
    <w:p>
      <w:pPr>
        <w:pStyle w:val="5"/>
        <w:numPr>
          <w:ilvl w:val="0"/>
          <w:numId w:val="0"/>
        </w:numPr>
        <w:spacing w:line="360" w:lineRule="auto"/>
        <w:rPr>
          <w:rFonts w:hint="default" w:ascii="仿宋" w:hAnsi="仿宋" w:eastAsia="仿宋" w:cs="仿宋"/>
          <w:sz w:val="32"/>
          <w:szCs w:val="32"/>
          <w:lang w:val="en-US" w:eastAsia="zh-CN"/>
        </w:rPr>
      </w:pPr>
      <w:r>
        <w:rPr>
          <w:rFonts w:hint="eastAsia" w:ascii="仿宋" w:hAnsi="仿宋" w:eastAsia="仿宋" w:cs="仿宋"/>
          <w:sz w:val="32"/>
          <w:szCs w:val="32"/>
          <w:lang w:eastAsia="zh-CN"/>
        </w:rPr>
        <w:t>联系方式：</w:t>
      </w:r>
      <w:r>
        <w:rPr>
          <w:rFonts w:hint="eastAsia" w:ascii="仿宋" w:hAnsi="仿宋" w:eastAsia="仿宋" w:cs="仿宋"/>
          <w:sz w:val="32"/>
          <w:szCs w:val="32"/>
          <w:lang w:val="en-US" w:eastAsia="zh-CN"/>
        </w:rPr>
        <w:t>13839697281</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生产内容：污水处理，</w:t>
      </w:r>
      <w:r>
        <w:rPr>
          <w:rFonts w:hint="eastAsia" w:ascii="仿宋" w:hAnsi="仿宋" w:eastAsia="仿宋" w:cs="仿宋"/>
          <w:sz w:val="32"/>
          <w:szCs w:val="32"/>
        </w:rPr>
        <w:t>设计处理规模</w:t>
      </w:r>
      <w:r>
        <w:rPr>
          <w:rFonts w:hint="eastAsia" w:ascii="仿宋" w:hAnsi="仿宋" w:eastAsia="仿宋" w:cs="仿宋"/>
          <w:sz w:val="32"/>
          <w:szCs w:val="32"/>
          <w:lang w:val="en-US" w:eastAsia="zh-CN"/>
        </w:rPr>
        <w:t>2</w:t>
      </w:r>
      <w:r>
        <w:rPr>
          <w:rFonts w:hint="eastAsia" w:ascii="仿宋" w:hAnsi="仿宋" w:eastAsia="仿宋" w:cs="仿宋"/>
          <w:sz w:val="32"/>
          <w:szCs w:val="32"/>
        </w:rPr>
        <w:t>万吨/日</w:t>
      </w:r>
      <w:r>
        <w:rPr>
          <w:rFonts w:hint="eastAsia" w:ascii="仿宋" w:hAnsi="仿宋" w:eastAsia="仿宋" w:cs="仿宋"/>
          <w:sz w:val="32"/>
          <w:szCs w:val="32"/>
          <w:lang w:eastAsia="zh-CN"/>
        </w:rPr>
        <w:t>。</w:t>
      </w:r>
    </w:p>
    <w:p>
      <w:pPr>
        <w:pStyle w:val="5"/>
        <w:numPr>
          <w:ilvl w:val="0"/>
          <w:numId w:val="1"/>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排污信息</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主要污染物：COD、氨氮、总磷、总氮。</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排放方式：连续直排。</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排放口数量：一个，位于厂区东南侧。</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废水排放量：568.09万吨，COD年平均出水浓度：23.74mg/L，排放量134.86吨；氨氮年平均出水浓度：0.455mg/L，排放量：2.58吨；总磷年平均出水浓度：0.153mg/L，排放量：0.869吨；总氮年平均出水浓度：10.562g/L，排放量：60吨。</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污染物排放标准：执行国家一级A排放标准。</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核定的排放总量：COD：219吨，氨氮：10.95吨，总氮：109.5吨，总磷：2.19吨。</w:t>
      </w:r>
    </w:p>
    <w:p>
      <w:pPr>
        <w:pStyle w:val="5"/>
        <w:numPr>
          <w:ilvl w:val="0"/>
          <w:numId w:val="1"/>
        </w:numPr>
        <w:spacing w:line="360" w:lineRule="auto"/>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防治污染设施的建设和运行情况</w:t>
      </w:r>
    </w:p>
    <w:p>
      <w:pPr>
        <w:pStyle w:val="5"/>
        <w:numPr>
          <w:ilvl w:val="0"/>
          <w:numId w:val="0"/>
        </w:numPr>
        <w:spacing w:line="360" w:lineRule="auto"/>
        <w:ind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我厂根据环评报告及批复要求，污水处理</w:t>
      </w:r>
      <w:r>
        <w:rPr>
          <w:rFonts w:hint="eastAsia" w:ascii="仿宋" w:hAnsi="仿宋" w:eastAsia="仿宋" w:cs="仿宋"/>
          <w:sz w:val="32"/>
          <w:szCs w:val="32"/>
          <w:lang w:eastAsia="zh-CN"/>
        </w:rPr>
        <w:t>采用预处理</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二级生化处理</w:t>
      </w:r>
      <w:r>
        <w:rPr>
          <w:rFonts w:hint="eastAsia" w:ascii="仿宋" w:hAnsi="仿宋" w:eastAsia="仿宋" w:cs="仿宋"/>
          <w:sz w:val="32"/>
          <w:szCs w:val="32"/>
          <w:lang w:val="en-US" w:eastAsia="zh-CN"/>
        </w:rPr>
        <w:t>+三级深度处理工艺，处理后的达标废水直接排入至三里河，自投产以来运行正常。</w:t>
      </w:r>
    </w:p>
    <w:p>
      <w:pPr>
        <w:pStyle w:val="5"/>
        <w:numPr>
          <w:ilvl w:val="0"/>
          <w:numId w:val="0"/>
        </w:numPr>
        <w:spacing w:line="360" w:lineRule="auto"/>
        <w:ind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我厂建立了危险废物贮存场所，严格按照要求落实各项防渗、防雨、防漏要求，危险废物委托有资质的单位进行安全处置。</w:t>
      </w:r>
    </w:p>
    <w:p>
      <w:pPr>
        <w:pStyle w:val="5"/>
        <w:numPr>
          <w:ilvl w:val="0"/>
          <w:numId w:val="1"/>
        </w:numPr>
        <w:spacing w:line="360" w:lineRule="auto"/>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建设项目环境影响评价及其他环境保护行政许可情况</w:t>
      </w:r>
    </w:p>
    <w:p>
      <w:pPr>
        <w:pStyle w:val="2"/>
        <w:shd w:val="clear" w:color="auto" w:fill="FFFFFF"/>
        <w:spacing w:before="0" w:beforeAutospacing="0" w:after="0" w:afterAutospacing="0" w:line="400" w:lineRule="exact"/>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2014年9月22日批复</w:t>
      </w:r>
      <w:r>
        <w:rPr>
          <w:rFonts w:hint="eastAsia" w:ascii="仿宋" w:hAnsi="仿宋" w:eastAsia="仿宋" w:cs="仿宋"/>
          <w:sz w:val="32"/>
          <w:szCs w:val="32"/>
          <w:lang w:eastAsia="zh-CN"/>
        </w:rPr>
        <w:t>确山县产业集聚区污水处理厂工程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豫环审【</w:t>
      </w:r>
      <w:r>
        <w:rPr>
          <w:rFonts w:hint="eastAsia" w:ascii="仿宋" w:hAnsi="仿宋" w:eastAsia="仿宋" w:cs="仿宋"/>
          <w:sz w:val="32"/>
          <w:szCs w:val="32"/>
          <w:lang w:val="en-US" w:eastAsia="zh-CN"/>
        </w:rPr>
        <w:t>2014</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361号</w:t>
      </w:r>
    </w:p>
    <w:p>
      <w:pPr>
        <w:numPr>
          <w:ilvl w:val="0"/>
          <w:numId w:val="0"/>
        </w:numPr>
        <w:adjustRightInd w:val="0"/>
        <w:snapToGrid w:val="0"/>
        <w:spacing w:line="400" w:lineRule="exact"/>
        <w:rPr>
          <w:rFonts w:hint="eastAsia" w:ascii="仿宋" w:hAnsi="仿宋" w:eastAsia="仿宋" w:cs="仿宋"/>
          <w:sz w:val="32"/>
          <w:szCs w:val="32"/>
          <w:lang w:val="en-US" w:eastAsia="zh-CN"/>
        </w:rPr>
      </w:pPr>
      <w:r>
        <w:rPr>
          <w:rFonts w:hint="eastAsia" w:ascii="仿宋" w:hAnsi="仿宋" w:eastAsia="仿宋" w:cs="仿宋"/>
          <w:sz w:val="32"/>
          <w:szCs w:val="32"/>
        </w:rPr>
        <w:t>环保验收手续名称和文号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确山县产业集聚区污水处理厂项目竣工环境保护验收监测报告表。</w:t>
      </w:r>
    </w:p>
    <w:p>
      <w:pPr>
        <w:numPr>
          <w:ilvl w:val="0"/>
          <w:numId w:val="0"/>
        </w:numPr>
        <w:adjustRightInd w:val="0"/>
        <w:snapToGrid w:val="0"/>
        <w:spacing w:line="400" w:lineRule="exact"/>
        <w:rPr>
          <w:rFonts w:hint="eastAsia" w:ascii="Times New Roman" w:hAnsi="Times New Roman" w:cs="Times New Roman"/>
          <w:sz w:val="21"/>
          <w:szCs w:val="21"/>
          <w:lang w:val="en-US" w:eastAsia="zh-CN"/>
        </w:rPr>
      </w:pPr>
      <w:r>
        <w:rPr>
          <w:rFonts w:hint="eastAsia" w:ascii="仿宋" w:hAnsi="仿宋" w:eastAsia="仿宋" w:cs="仿宋"/>
          <w:sz w:val="32"/>
          <w:szCs w:val="32"/>
          <w:lang w:val="en-US" w:eastAsia="zh-CN"/>
        </w:rPr>
        <w:t>2019年7月1日取得排污许可证 证件号：914117254188454815001X。</w:t>
      </w:r>
    </w:p>
    <w:p>
      <w:pPr>
        <w:pStyle w:val="5"/>
        <w:numPr>
          <w:ilvl w:val="0"/>
          <w:numId w:val="1"/>
        </w:numPr>
        <w:spacing w:line="360" w:lineRule="auto"/>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突发环境事件应急预案</w:t>
      </w:r>
    </w:p>
    <w:p>
      <w:pPr>
        <w:pStyle w:val="5"/>
        <w:numPr>
          <w:ilvl w:val="0"/>
          <w:numId w:val="0"/>
        </w:numPr>
        <w:spacing w:line="360" w:lineRule="auto"/>
        <w:ind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66690" cy="4527550"/>
            <wp:effectExtent l="0" t="0" r="10160" b="6350"/>
            <wp:docPr id="4" name="图片 4" descr="产业集聚区应急预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产业集聚区应急预案"/>
                    <pic:cNvPicPr>
                      <a:picLocks noChangeAspect="1"/>
                    </pic:cNvPicPr>
                  </pic:nvPicPr>
                  <pic:blipFill>
                    <a:blip r:embed="rId4"/>
                    <a:stretch>
                      <a:fillRect/>
                    </a:stretch>
                  </pic:blipFill>
                  <pic:spPr>
                    <a:xfrm>
                      <a:off x="0" y="0"/>
                      <a:ext cx="5266690" cy="4527550"/>
                    </a:xfrm>
                    <a:prstGeom prst="rect">
                      <a:avLst/>
                    </a:prstGeom>
                  </pic:spPr>
                </pic:pic>
              </a:graphicData>
            </a:graphic>
          </wp:inline>
        </w:drawing>
      </w:r>
    </w:p>
    <w:p/>
    <w:p/>
    <w:p>
      <w:pPr>
        <w:rPr>
          <w:rFonts w:hint="eastAsia" w:eastAsiaTheme="minorEastAsia"/>
          <w:lang w:eastAsia="zh-CN"/>
        </w:rPr>
      </w:pPr>
      <w:r>
        <w:rPr>
          <w:rFonts w:hint="eastAsia" w:eastAsiaTheme="minorEastAsia"/>
          <w:lang w:eastAsia="zh-CN"/>
        </w:rPr>
        <w:drawing>
          <wp:inline distT="0" distB="0" distL="114300" distR="114300">
            <wp:extent cx="5266690" cy="7022465"/>
            <wp:effectExtent l="0" t="0" r="10160" b="6985"/>
            <wp:docPr id="8" name="图片 8" descr="产业环评批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产业环评批复（1）"/>
                    <pic:cNvPicPr>
                      <a:picLocks noChangeAspect="1"/>
                    </pic:cNvPicPr>
                  </pic:nvPicPr>
                  <pic:blipFill>
                    <a:blip r:embed="rId5"/>
                    <a:stretch>
                      <a:fillRect/>
                    </a:stretch>
                  </pic:blipFill>
                  <pic:spPr>
                    <a:xfrm>
                      <a:off x="0" y="0"/>
                      <a:ext cx="5266690" cy="7022465"/>
                    </a:xfrm>
                    <a:prstGeom prst="rect">
                      <a:avLst/>
                    </a:prstGeom>
                  </pic:spPr>
                </pic:pic>
              </a:graphicData>
            </a:graphic>
          </wp:inline>
        </w:drawing>
      </w:r>
      <w:r>
        <w:rPr>
          <w:rFonts w:hint="eastAsia" w:eastAsiaTheme="minorEastAsia"/>
          <w:lang w:eastAsia="zh-CN"/>
        </w:rPr>
        <w:drawing>
          <wp:inline distT="0" distB="0" distL="114300" distR="114300">
            <wp:extent cx="5266690" cy="7022465"/>
            <wp:effectExtent l="0" t="0" r="10160" b="6985"/>
            <wp:docPr id="7" name="图片 7" descr="产业环评批复（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产业环评批复（2）"/>
                    <pic:cNvPicPr>
                      <a:picLocks noChangeAspect="1"/>
                    </pic:cNvPicPr>
                  </pic:nvPicPr>
                  <pic:blipFill>
                    <a:blip r:embed="rId6"/>
                    <a:stretch>
                      <a:fillRect/>
                    </a:stretch>
                  </pic:blipFill>
                  <pic:spPr>
                    <a:xfrm>
                      <a:off x="0" y="0"/>
                      <a:ext cx="5266690" cy="7022465"/>
                    </a:xfrm>
                    <a:prstGeom prst="rect">
                      <a:avLst/>
                    </a:prstGeom>
                  </pic:spPr>
                </pic:pic>
              </a:graphicData>
            </a:graphic>
          </wp:inline>
        </w:drawing>
      </w:r>
      <w:r>
        <w:rPr>
          <w:rFonts w:hint="eastAsia" w:eastAsiaTheme="minorEastAsia"/>
          <w:lang w:eastAsia="zh-CN"/>
        </w:rPr>
        <w:drawing>
          <wp:inline distT="0" distB="0" distL="114300" distR="114300">
            <wp:extent cx="5266690" cy="7022465"/>
            <wp:effectExtent l="0" t="0" r="10160" b="6985"/>
            <wp:docPr id="6" name="图片 6" descr="产业环评批复（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产业环评批复（3）"/>
                    <pic:cNvPicPr>
                      <a:picLocks noChangeAspect="1"/>
                    </pic:cNvPicPr>
                  </pic:nvPicPr>
                  <pic:blipFill>
                    <a:blip r:embed="rId7"/>
                    <a:stretch>
                      <a:fillRect/>
                    </a:stretch>
                  </pic:blipFill>
                  <pic:spPr>
                    <a:xfrm>
                      <a:off x="0" y="0"/>
                      <a:ext cx="5266690" cy="7022465"/>
                    </a:xfrm>
                    <a:prstGeom prst="rect">
                      <a:avLst/>
                    </a:prstGeom>
                  </pic:spPr>
                </pic:pic>
              </a:graphicData>
            </a:graphic>
          </wp:inline>
        </w:drawing>
      </w:r>
      <w:r>
        <w:rPr>
          <w:rFonts w:hint="eastAsia" w:eastAsiaTheme="minorEastAsia"/>
          <w:lang w:eastAsia="zh-CN"/>
        </w:rPr>
        <w:drawing>
          <wp:inline distT="0" distB="0" distL="114300" distR="114300">
            <wp:extent cx="5266690" cy="7022465"/>
            <wp:effectExtent l="0" t="0" r="10160" b="6985"/>
            <wp:docPr id="5" name="图片 5" descr="产业环评批复（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产业环评批复（4）"/>
                    <pic:cNvPicPr>
                      <a:picLocks noChangeAspect="1"/>
                    </pic:cNvPicPr>
                  </pic:nvPicPr>
                  <pic:blipFill>
                    <a:blip r:embed="rId8"/>
                    <a:stretch>
                      <a:fillRect/>
                    </a:stretch>
                  </pic:blipFill>
                  <pic:spPr>
                    <a:xfrm>
                      <a:off x="0" y="0"/>
                      <a:ext cx="5266690" cy="7022465"/>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center"/>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8"/>
          <w:szCs w:val="48"/>
          <w:lang w:eastAsia="zh-CN"/>
        </w:rPr>
      </w:pPr>
      <w:r>
        <w:rPr>
          <w:rFonts w:hint="eastAsia" w:ascii="宋体" w:hAnsi="宋体" w:eastAsia="宋体" w:cs="宋体"/>
          <w:b/>
          <w:bCs/>
          <w:sz w:val="48"/>
          <w:szCs w:val="48"/>
          <w:lang w:eastAsia="zh-CN"/>
        </w:rPr>
        <w:t>确山县产业集聚区污水处理厂自行监测方案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确山县产业集聚区污水处理厂</w:t>
      </w:r>
      <w:r>
        <w:rPr>
          <w:rFonts w:hint="eastAsia" w:ascii="宋体" w:hAnsi="宋体" w:eastAsia="宋体" w:cs="宋体"/>
          <w:b/>
          <w:bCs/>
          <w:sz w:val="44"/>
          <w:szCs w:val="44"/>
          <w:lang w:val="en-US" w:eastAsia="zh-CN"/>
        </w:rPr>
        <w:t>2019年</w:t>
      </w:r>
      <w:r>
        <w:rPr>
          <w:rFonts w:hint="eastAsia" w:ascii="宋体" w:hAnsi="宋体" w:eastAsia="宋体" w:cs="宋体"/>
          <w:b/>
          <w:bCs/>
          <w:sz w:val="44"/>
          <w:szCs w:val="44"/>
          <w:lang w:eastAsia="zh-CN"/>
        </w:rPr>
        <w:t>自行监测方案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883" w:firstLineChars="20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为了给厂内正常生产运行提供连续可靠的化验数据，并</w:t>
      </w:r>
      <w:r>
        <w:rPr>
          <w:rFonts w:hint="eastAsia" w:ascii="仿宋_GB2312" w:hAnsi="仿宋_GB2312" w:eastAsia="仿宋_GB2312" w:cs="仿宋_GB2312"/>
          <w:sz w:val="32"/>
          <w:szCs w:val="32"/>
          <w:lang w:val="en-US" w:eastAsia="zh-CN"/>
        </w:rPr>
        <w:t>响应各级环保部门的号召，完善总量减排监测体系建设，</w:t>
      </w:r>
      <w:r>
        <w:rPr>
          <w:rFonts w:hint="eastAsia" w:ascii="仿宋_GB2312" w:hAnsi="仿宋_GB2312" w:eastAsia="仿宋_GB2312" w:cs="仿宋_GB2312"/>
          <w:sz w:val="32"/>
          <w:szCs w:val="32"/>
          <w:lang w:eastAsia="zh-CN"/>
        </w:rPr>
        <w:t>建立重点企业自行监测信息公开平台的需要，特制定本方案：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确山县产业集聚区污水处理厂选址位于产业集聚区金城大道西侧，生活污水处理厂对面，占地面积近</w:t>
      </w:r>
      <w:r>
        <w:rPr>
          <w:rFonts w:hint="eastAsia" w:ascii="仿宋_GB2312" w:hAnsi="仿宋_GB2312" w:eastAsia="仿宋_GB2312" w:cs="仿宋_GB2312"/>
          <w:sz w:val="32"/>
          <w:szCs w:val="32"/>
          <w:lang w:val="en-US" w:eastAsia="zh-CN"/>
        </w:rPr>
        <w:t>50亩。工程建设规模为2万吨的污水处理厂一座，设计出水水质标准为一级A，项目采用“预处理+二级生化处理+三级深度处理”工艺，总投资5711万元。工程于2014年8月16日开工建设，2015年8月底建设完成，2018年三月底正式投入运行。目前各厂稳定运行，出厂水达标排放。</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二、监测依据</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1、原国家环境保护局第10号令《排放污染物申报登记管理规定》1992年；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2、原国家环境保护局第39号令《环境监测管理办法》2007年；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3、国务院办公厅国办发[2013]4号《“十二五”主要污染物总量减排考核办法》2013年；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4、环保部、国家统计局、国家发改委、监察部文件环发[2013]14号《“十二五”主要污染物总量减排监测办法》2013年；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5、《国家重点监控企业自行监测及信息公开办法》（试行）；</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6、《城镇污水处理厂污染物排放标准》（GB 18918-2002）</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三、污染源及治理措施</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我厂主要污染源为城镇生活污水和部分工业污水；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治理措施为：活性污染卡鲁塞尔氧化沟工艺；</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排放去向：臻头河</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四、评价标准</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1、监测执行标准：《城镇污水处理厂污染物排放标准》（GB 18918-2002）一级A。</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2、标准限值及监测频次（COD、氨氮、总磷、总氮、PH值为在线自动监控系统监测，其他项目为手工监测）</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COD：50 mg/L    </w:t>
      </w:r>
      <w:r>
        <w:rPr>
          <w:rFonts w:hint="eastAsia" w:ascii="仿宋" w:hAnsi="仿宋" w:eastAsia="仿宋" w:cs="仿宋"/>
          <w:b w:val="0"/>
          <w:bCs w:val="0"/>
          <w:sz w:val="32"/>
          <w:szCs w:val="32"/>
          <w:lang w:val="en-US" w:eastAsia="zh-CN"/>
        </w:rPr>
        <w:t xml:space="preserve">   1次/6小时</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氨氮：5（8）mg/L   1次/6小时</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总磷：0.5mg/L      1次/6小时</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总氮：15mg/L       1次/6小时</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PH值：6-9          1次/1天</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动植物油：1mg/L     1次/1季度</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粪大肠菌群：1000mg/L 1次/半年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流量                 1次/6小时</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六价铬:0.05mg/L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色度：30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石油类：1mg/L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烷基汞：0mg/L       1次/1季度</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五日化学需氧量：10mg/L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悬浮物：10mg/L      1次/1天</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阴离子表面活性剂（LAS）：0.5mg/L    1次/1季度</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总铬：0.1mg/L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总汞：0.001mg/L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总铅：0.1mg/L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总砷：0.1mg/L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总镉：0.01mg/L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氨（氨气）          1次/半年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臭氧浓度            1次/半年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硫化氢              1次/半年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氯化氢              1次/1年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甲烷                1次/1年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污泥含水率          1次/日</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五、监测内容</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1、监测点位</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取样地点：厂区出水口</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firstLine="643" w:firstLineChars="200"/>
        <w:jc w:val="both"/>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、监测指标</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（1）COD，（2）氨氮，（3）总磷，（4）总氮，（5）</w:t>
      </w:r>
      <w:r>
        <w:rPr>
          <w:rFonts w:hint="eastAsia" w:ascii="仿宋_GB2312" w:hAnsi="仿宋_GB2312" w:eastAsia="仿宋_GB2312" w:cs="仿宋_GB2312"/>
          <w:b w:val="0"/>
          <w:bCs w:val="0"/>
          <w:sz w:val="32"/>
          <w:szCs w:val="32"/>
          <w:lang w:val="en-US" w:eastAsia="zh-CN"/>
        </w:rPr>
        <w:t>PH值，</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b w:val="0"/>
          <w:bCs w:val="0"/>
          <w:sz w:val="32"/>
          <w:szCs w:val="32"/>
          <w:lang w:val="en-US" w:eastAsia="zh-CN"/>
        </w:rPr>
        <w:t>动植物油，</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b w:val="0"/>
          <w:bCs w:val="0"/>
          <w:sz w:val="32"/>
          <w:szCs w:val="32"/>
          <w:lang w:val="en-US" w:eastAsia="zh-CN"/>
        </w:rPr>
        <w:t>粪大肠菌群，</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b w:val="0"/>
          <w:bCs w:val="0"/>
          <w:sz w:val="32"/>
          <w:szCs w:val="32"/>
          <w:lang w:val="en-US" w:eastAsia="zh-CN"/>
        </w:rPr>
        <w:t>流量，</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b w:val="0"/>
          <w:bCs w:val="0"/>
          <w:sz w:val="32"/>
          <w:szCs w:val="32"/>
          <w:lang w:val="en-US" w:eastAsia="zh-CN"/>
        </w:rPr>
        <w:t>六价铬，</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b w:val="0"/>
          <w:bCs w:val="0"/>
          <w:sz w:val="32"/>
          <w:szCs w:val="32"/>
          <w:lang w:val="en-US" w:eastAsia="zh-CN"/>
        </w:rPr>
        <w:t>色度，</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b w:val="0"/>
          <w:bCs w:val="0"/>
          <w:sz w:val="32"/>
          <w:szCs w:val="32"/>
          <w:lang w:val="en-US" w:eastAsia="zh-CN"/>
        </w:rPr>
        <w:t>石油类，</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b w:val="0"/>
          <w:bCs w:val="0"/>
          <w:sz w:val="32"/>
          <w:szCs w:val="32"/>
          <w:lang w:val="en-US" w:eastAsia="zh-CN"/>
        </w:rPr>
        <w:t>烷基汞，</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b w:val="0"/>
          <w:bCs w:val="0"/>
          <w:sz w:val="32"/>
          <w:szCs w:val="32"/>
          <w:lang w:val="en-US" w:eastAsia="zh-CN"/>
        </w:rPr>
        <w:t>五日化学需氧量，</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b w:val="0"/>
          <w:bCs w:val="0"/>
          <w:sz w:val="32"/>
          <w:szCs w:val="32"/>
          <w:lang w:val="en-US" w:eastAsia="zh-CN"/>
        </w:rPr>
        <w:t>悬浮物，</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b w:val="0"/>
          <w:bCs w:val="0"/>
          <w:sz w:val="32"/>
          <w:szCs w:val="32"/>
          <w:lang w:val="en-US" w:eastAsia="zh-CN"/>
        </w:rPr>
        <w:t>阴离子表面活性剂（LAS），</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b w:val="0"/>
          <w:bCs w:val="0"/>
          <w:sz w:val="32"/>
          <w:szCs w:val="32"/>
          <w:lang w:val="en-US" w:eastAsia="zh-CN"/>
        </w:rPr>
        <w:t>总铬，</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b w:val="0"/>
          <w:bCs w:val="0"/>
          <w:sz w:val="32"/>
          <w:szCs w:val="32"/>
          <w:lang w:val="en-US" w:eastAsia="zh-CN"/>
        </w:rPr>
        <w:t>总汞，</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b w:val="0"/>
          <w:bCs w:val="0"/>
          <w:sz w:val="32"/>
          <w:szCs w:val="32"/>
          <w:lang w:val="en-US" w:eastAsia="zh-CN"/>
        </w:rPr>
        <w:t>总铅，</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b w:val="0"/>
          <w:bCs w:val="0"/>
          <w:sz w:val="32"/>
          <w:szCs w:val="32"/>
          <w:lang w:val="en-US" w:eastAsia="zh-CN"/>
        </w:rPr>
        <w:t>总砷，</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b w:val="0"/>
          <w:bCs w:val="0"/>
          <w:sz w:val="32"/>
          <w:szCs w:val="32"/>
          <w:lang w:val="en-US" w:eastAsia="zh-CN"/>
        </w:rPr>
        <w:t>总镉，</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b w:val="0"/>
          <w:bCs w:val="0"/>
          <w:sz w:val="32"/>
          <w:szCs w:val="32"/>
          <w:lang w:val="en-US" w:eastAsia="zh-CN"/>
        </w:rPr>
        <w:t>氨（氨气），</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b w:val="0"/>
          <w:bCs w:val="0"/>
          <w:sz w:val="32"/>
          <w:szCs w:val="32"/>
          <w:lang w:val="en-US" w:eastAsia="zh-CN"/>
        </w:rPr>
        <w:t>臭氧浓度，</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b w:val="0"/>
          <w:bCs w:val="0"/>
          <w:sz w:val="32"/>
          <w:szCs w:val="32"/>
          <w:lang w:val="en-US" w:eastAsia="zh-CN"/>
        </w:rPr>
        <w:t>硫化氢，</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b w:val="0"/>
          <w:bCs w:val="0"/>
          <w:sz w:val="32"/>
          <w:szCs w:val="32"/>
          <w:lang w:val="en-US" w:eastAsia="zh-CN"/>
        </w:rPr>
        <w:t>氯化氢，</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b w:val="0"/>
          <w:bCs w:val="0"/>
          <w:sz w:val="32"/>
          <w:szCs w:val="32"/>
          <w:lang w:val="en-US" w:eastAsia="zh-CN"/>
        </w:rPr>
        <w:t>甲烷，（26）污泥含水率</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firstLine="321" w:firstLineChars="1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3、分析测试方法及仪器</w:t>
      </w:r>
    </w:p>
    <w:tbl>
      <w:tblPr>
        <w:tblStyle w:val="3"/>
        <w:tblW w:w="0" w:type="auto"/>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2970"/>
        <w:gridCol w:w="3630"/>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监测项目</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监测方法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使用仪器</w:t>
            </w: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lang w:val="en-US" w:eastAsia="zh-CN"/>
              </w:rPr>
              <w:t>COD</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lang w:val="en-US" w:eastAsia="zh-CN"/>
              </w:rPr>
              <w:t>重铬酸钾法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COD自动监测系统</w:t>
            </w: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b w:val="0"/>
                <w:bCs w:val="0"/>
                <w:sz w:val="28"/>
                <w:szCs w:val="28"/>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lang w:val="en-US" w:eastAsia="zh-CN"/>
              </w:rPr>
              <w:t>氨氮</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lang w:val="en-US" w:eastAsia="zh-CN"/>
              </w:rPr>
              <w:t>纳氏试剂光度法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氨氮自动监测系统</w:t>
            </w: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b w:val="0"/>
                <w:bCs w:val="0"/>
                <w:sz w:val="28"/>
                <w:szCs w:val="28"/>
                <w:lang w:val="en-US" w:eastAsia="zh-CN"/>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总磷</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钼锑抗分光光度法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总磷自动监测系统</w:t>
            </w: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总氮</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紫外分光光度法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总氮自动监测系统</w:t>
            </w: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PH</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玻璃电极法 </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PH自动监测系统</w:t>
            </w: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动植物油</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红外分光光度法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粪大肠菌群</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shd w:val="clear" w:color="auto" w:fill="F5F8FA"/>
              </w:rPr>
              <w:t>多管发酵法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流量</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shd w:val="clear" w:color="auto" w:fill="F5F8FA"/>
              </w:rPr>
              <w:t>便携式流量计</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六价铬</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二苯碳酰二肼分光光度法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色度</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shd w:val="clear" w:color="auto" w:fill="F5F8FA"/>
              </w:rPr>
              <w:t>色度的测定 11903-</w:t>
            </w:r>
            <w:r>
              <w:rPr>
                <w:rFonts w:hint="eastAsia" w:ascii="仿宋" w:hAnsi="仿宋" w:eastAsia="仿宋" w:cs="仿宋"/>
                <w:i w:val="0"/>
                <w:caps w:val="0"/>
                <w:color w:val="000000"/>
                <w:spacing w:val="0"/>
                <w:sz w:val="28"/>
                <w:szCs w:val="28"/>
                <w:shd w:val="clear" w:color="auto" w:fill="F5F8FA"/>
                <w:lang w:val="en-US" w:eastAsia="zh-CN"/>
              </w:rPr>
              <w:t>19</w:t>
            </w:r>
            <w:r>
              <w:rPr>
                <w:rFonts w:hint="eastAsia" w:ascii="仿宋" w:hAnsi="仿宋" w:eastAsia="仿宋" w:cs="仿宋"/>
                <w:i w:val="0"/>
                <w:caps w:val="0"/>
                <w:color w:val="000000"/>
                <w:spacing w:val="0"/>
                <w:sz w:val="28"/>
                <w:szCs w:val="28"/>
                <w:shd w:val="clear" w:color="auto" w:fill="F5F8FA"/>
              </w:rPr>
              <w:t>89</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石油类</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红外光度法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烷基汞</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悬浮物</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shd w:val="clear" w:color="auto" w:fill="F5F8FA"/>
              </w:rPr>
              <w:t>重量法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五日化学需氧量</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 稀释与接种法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阴离子表面活性剂（LAS）</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亚甲基兰分光光度法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总铬</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高锰酸钾氧化-二苯碳酰二肼分光光度法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总汞</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shd w:val="clear" w:color="auto" w:fill="F5F8FA"/>
              </w:rPr>
              <w:t> 高锰酸钾-过硫酸钾消解法 双硫腙分光光度法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总铅</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shd w:val="clear" w:color="auto" w:fill="F5F8FA"/>
              </w:rPr>
              <w:t>原子吸收分光光度法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总砷</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二乙基二硫代氨基甲酸银分光光度法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总镉</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shd w:val="clear" w:color="auto" w:fill="F5F8FA"/>
              </w:rPr>
              <w:t>双硫腙分光光度法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氨（氨气）</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纳氏试剂分光光度法 </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臭氧浓度</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shd w:val="clear" w:color="auto" w:fill="F5F8FA"/>
              </w:rPr>
              <w:t>三点比较式臭袋法 </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硫化氢</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气相色谱法 </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氯化氢</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shd w:val="clear" w:color="auto" w:fill="F5F8FA"/>
              </w:rPr>
              <w:t>离子色谱法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firstLine="280" w:firstLineChars="1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甲烷</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气相色谱法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污泥含水率</w:t>
            </w:r>
          </w:p>
        </w:tc>
        <w:tc>
          <w:tcPr>
            <w:tcW w:w="297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Helvetica" w:hAnsi="Helvetica" w:eastAsia="宋体" w:cs="Helvetica"/>
                <w:i w:val="0"/>
                <w:caps w:val="0"/>
                <w:color w:val="000000"/>
                <w:spacing w:val="0"/>
                <w:sz w:val="18"/>
                <w:szCs w:val="18"/>
                <w:lang w:eastAsia="zh-CN"/>
              </w:rPr>
            </w:pPr>
            <w:r>
              <w:rPr>
                <w:rFonts w:hint="eastAsia" w:ascii="Helvetica" w:hAnsi="Helvetica" w:eastAsia="宋体" w:cs="Helvetica"/>
                <w:i w:val="0"/>
                <w:caps w:val="0"/>
                <w:color w:val="000000"/>
                <w:spacing w:val="0"/>
                <w:sz w:val="28"/>
                <w:szCs w:val="28"/>
                <w:lang w:eastAsia="zh-CN"/>
              </w:rPr>
              <w:t>重量法</w:t>
            </w:r>
          </w:p>
        </w:tc>
        <w:tc>
          <w:tcPr>
            <w:tcW w:w="3630"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p>
        </w:tc>
        <w:tc>
          <w:tcPr>
            <w:tcW w:w="1256"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b w:val="0"/>
                <w:bCs w:val="0"/>
                <w:sz w:val="32"/>
                <w:szCs w:val="32"/>
                <w:lang w:val="en-US" w:eastAsia="zh-CN"/>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pPr>
        <w:numPr>
          <w:ilvl w:val="0"/>
          <w:numId w:val="0"/>
        </w:numPr>
        <w:ind w:firstLine="643" w:firstLineChars="20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4、采样和样品保存方法</w:t>
      </w:r>
    </w:p>
    <w:p>
      <w:pPr>
        <w:numPr>
          <w:ilvl w:val="0"/>
          <w:numId w:val="0"/>
        </w:numPr>
        <w:ind w:firstLine="640" w:firstLineChars="200"/>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COD：瞬时采样至少3个瞬时样，</w:t>
      </w:r>
      <w:r>
        <w:rPr>
          <w:rFonts w:hint="eastAsia" w:ascii="仿宋" w:hAnsi="仿宋" w:eastAsia="仿宋" w:cs="仿宋"/>
          <w:b w:val="0"/>
          <w:bCs w:val="0"/>
          <w:sz w:val="32"/>
          <w:szCs w:val="32"/>
          <w:lang w:val="en-US" w:eastAsia="zh-CN"/>
        </w:rPr>
        <w:t>加硫酸，使PH＜2，温度保持在2-5摄氏度。</w:t>
      </w:r>
    </w:p>
    <w:p>
      <w:pPr>
        <w:numPr>
          <w:ilvl w:val="0"/>
          <w:numId w:val="0"/>
        </w:numPr>
        <w:ind w:firstLine="640" w:firstLineChars="200"/>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氨氮：瞬时采样至少3个瞬时样，</w:t>
      </w:r>
      <w:r>
        <w:rPr>
          <w:rFonts w:hint="eastAsia" w:ascii="仿宋" w:hAnsi="仿宋" w:eastAsia="仿宋" w:cs="仿宋"/>
          <w:b w:val="0"/>
          <w:bCs w:val="0"/>
          <w:sz w:val="32"/>
          <w:szCs w:val="32"/>
          <w:lang w:val="en-US" w:eastAsia="zh-CN"/>
        </w:rPr>
        <w:t>加硫酸，使PH≤2。</w:t>
      </w:r>
    </w:p>
    <w:p>
      <w:pPr>
        <w:numPr>
          <w:ilvl w:val="0"/>
          <w:numId w:val="0"/>
        </w:numPr>
        <w:ind w:firstLine="640" w:firstLineChars="200"/>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总磷：瞬时采样至少3个瞬时样，</w:t>
      </w:r>
      <w:r>
        <w:rPr>
          <w:rFonts w:hint="eastAsia" w:ascii="仿宋" w:hAnsi="仿宋" w:eastAsia="仿宋" w:cs="仿宋"/>
          <w:b w:val="0"/>
          <w:bCs w:val="0"/>
          <w:sz w:val="32"/>
          <w:szCs w:val="32"/>
          <w:lang w:val="en-US" w:eastAsia="zh-CN"/>
        </w:rPr>
        <w:t>加硫酸进行酸化，使盐酸酸化至PH≤2。</w:t>
      </w:r>
    </w:p>
    <w:p>
      <w:pPr>
        <w:numPr>
          <w:ilvl w:val="0"/>
          <w:numId w:val="0"/>
        </w:numPr>
        <w:ind w:firstLine="640" w:firstLineChars="200"/>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总氮：瞬时采样至少3个瞬时样，</w:t>
      </w:r>
      <w:r>
        <w:rPr>
          <w:rFonts w:hint="eastAsia" w:ascii="仿宋" w:hAnsi="仿宋" w:eastAsia="仿宋" w:cs="仿宋"/>
          <w:b w:val="0"/>
          <w:bCs w:val="0"/>
          <w:sz w:val="32"/>
          <w:szCs w:val="32"/>
          <w:lang w:val="en-US" w:eastAsia="zh-CN"/>
        </w:rPr>
        <w:t>加硫酸，使PH介于1-2之间。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PH值：瞬时采样至少3个瞬时样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动植物油：瞬时采样至少3个瞬时样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粪大肠菌群：瞬时采样至少3个瞬时样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流量：瞬时采样多个瞬时样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六价铬:瞬时采样至少3个瞬时样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色度：瞬时采样至少3个瞬时样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石油类：瞬时采样至少3个瞬时样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烷基汞：瞬时采样至少3个瞬时样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五日化学需氧量：瞬时采样至少3个瞬时样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悬浮物：瞬时采样至少3个瞬时样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阴离子表面活性剂（LAS）：瞬时采样至少3个瞬时样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总铬：瞬时采样至少3个瞬时样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总汞：瞬时采样至少3个瞬时样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总铅：瞬时采样至少3个瞬时样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总砷：瞬时采样至少3个瞬时样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总镉：瞬时采样至少3个瞬时样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氨（氨气）：非连续采样多个 </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氯化氢：非连续采样多个   </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臭氧浓度：非连续采样多个</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硫化氢：非连续采样多个</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甲烷：非连续采样多个</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污泥含水率：随机取样，3个以上样本</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六、监测质量控制</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（1）定期组织人员参加省环保厅自动监测数据有效性审核培训。</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（2）监测人员严格执行环境监测技术规范。</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（3）监测所用仪器、计量器具经分析人员进行校准，并由两名以上经省级环境保护主管部门组织的与监测事项相符的具有培训证书的人员操作。</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（3）监测样品的采集、保存、分析要按照相关技术规范要求进行，监测分析方法采用国家有关部门分布的标准（或推荐）分析方法。</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（4）化验人员要按要求，完成每天的监测项目，并建立双人操作制度，一人为主操作手，另外一人负责观察操作步骤是否正确、确认各项药品称重是否准确。</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（5）完善自行监测报表填写，在监测过程中要及时对取样地点、样品及药剂的使用量、化验步骤等信息进行详细填写。</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Chars="200" w:right="0" w:rightChars="0" w:firstLine="321" w:firstLineChars="1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七、监测点位示意图(附件2)</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drawing>
          <wp:inline distT="0" distB="0" distL="114300" distR="114300">
            <wp:extent cx="5266690" cy="2962910"/>
            <wp:effectExtent l="0" t="0" r="10160" b="8890"/>
            <wp:docPr id="9" name="图片 1" descr="产业集聚区监测点位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产业集聚区监测点位示意图"/>
                    <pic:cNvPicPr>
                      <a:picLocks noChangeAspect="1"/>
                    </pic:cNvPicPr>
                  </pic:nvPicPr>
                  <pic:blipFill>
                    <a:blip r:embed="rId9"/>
                    <a:stretch>
                      <a:fillRect/>
                    </a:stretch>
                  </pic:blipFill>
                  <pic:spPr>
                    <a:xfrm>
                      <a:off x="0" y="0"/>
                      <a:ext cx="5266690" cy="296291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righ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righ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确山县产业集聚区污水处理厂</w:t>
      </w: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Helvetica">
    <w:altName w:val="Arial"/>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01F8E1"/>
    <w:multiLevelType w:val="singleLevel"/>
    <w:tmpl w:val="0901F8E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3F60FD"/>
    <w:rsid w:val="0B4C741A"/>
    <w:rsid w:val="12FB1097"/>
    <w:rsid w:val="383F60FD"/>
    <w:rsid w:val="45A26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
    <w:name w:val="p0"/>
    <w:basedOn w:val="1"/>
    <w:qFormat/>
    <w:uiPriority w:val="0"/>
    <w:pPr>
      <w:jc w:val="both"/>
    </w:pPr>
    <w:rPr>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2020-12-08T07:19:00Z</dcterms:created>
  <dc:creator>Administrator</dc:creator>
  <cp:lastModifiedBy>金果</cp:lastModifiedBy>
  <dcterms:modified xsi:type="dcterms:W3CDTF">2022-03-07T07:34:20Z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6A003AFE782943F78011A1D12575B48D</vt:lpwstr>
  </property>
</Properties>
</file>