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确山县清源污水处理有限公司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信息公开表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一、基础信息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单位名称：</w:t>
      </w:r>
      <w:r>
        <w:rPr>
          <w:rFonts w:hint="eastAsia" w:ascii="仿宋" w:hAnsi="仿宋" w:eastAsia="仿宋" w:cs="仿宋"/>
          <w:sz w:val="32"/>
          <w:szCs w:val="32"/>
        </w:rPr>
        <w:t>确山县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清源污水处理有限公司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污水处理厂名称：确山县产业集聚区</w:t>
      </w:r>
      <w:r>
        <w:rPr>
          <w:rFonts w:hint="eastAsia" w:ascii="仿宋" w:hAnsi="仿宋" w:eastAsia="仿宋" w:cs="仿宋"/>
          <w:sz w:val="32"/>
          <w:szCs w:val="32"/>
        </w:rPr>
        <w:t>污水处理厂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组织机构代码：91411725MA9M47CX0Y。</w:t>
      </w:r>
      <w:bookmarkStart w:id="0" w:name="_GoBack"/>
      <w:bookmarkEnd w:id="0"/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法定代表人：王东升。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生产地址：确山县朗陵街道赵庄村。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联系方式：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13839697281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生产内容：污水处理及再生利用，</w:t>
      </w:r>
      <w:r>
        <w:rPr>
          <w:rFonts w:hint="eastAsia" w:ascii="仿宋" w:hAnsi="仿宋" w:eastAsia="仿宋" w:cs="仿宋"/>
          <w:sz w:val="32"/>
          <w:szCs w:val="32"/>
        </w:rPr>
        <w:t>设计处理规模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万吨/日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排污信息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主要污染物：COD、氨氮、总磷、总氮。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排放方式：连续直排。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排放口数量：一个，位于厂区东南侧。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废水排放量：572.25万吨，COD年平均出水浓度：18.12mg/L，排放量103.69吨；氨氮年平均出水浓度：0.414mg/L，排放量：2.36吨；总磷年平均出水浓度：0.131mg/L，排放量：0.749吨；总氮年平均出水浓度：8.993g/L，排放量：51.46吨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污染物排放标准：执行国家一级A排放标准。</w:t>
      </w:r>
    </w:p>
    <w:p>
      <w:pPr>
        <w:pStyle w:val="9"/>
        <w:numPr>
          <w:ilvl w:val="0"/>
          <w:numId w:val="0"/>
        </w:numPr>
        <w:spacing w:line="36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核定的排放总量：COD：219吨，氨氮：10.95吨，总氮：109.5吨，总磷：2.19吨。</w:t>
      </w:r>
    </w:p>
    <w:p>
      <w:pPr>
        <w:pStyle w:val="9"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防治污染设施的建设和运行情况</w:t>
      </w:r>
    </w:p>
    <w:p>
      <w:pPr>
        <w:pStyle w:val="9"/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我厂根据环评报告及批复要求，污水处理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采用预处理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二级生化处理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+三级深度处理工艺，处理后的达标废水直接排入至三里河，自投产以来运行正常。</w:t>
      </w:r>
    </w:p>
    <w:p>
      <w:pPr>
        <w:pStyle w:val="9"/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我厂建立了危险废物贮存场所，严格按照要求落实各项防渗、防雨、防漏要求，危险废物委托有资质的单位进行安全处置。</w:t>
      </w:r>
    </w:p>
    <w:p>
      <w:pPr>
        <w:pStyle w:val="9"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建设项目环境影响评价及其他环境保护行政许可情况</w:t>
      </w:r>
    </w:p>
    <w:p>
      <w:pPr>
        <w:pStyle w:val="5"/>
        <w:shd w:val="clear" w:color="auto" w:fill="FFFFFF"/>
        <w:spacing w:before="0" w:beforeAutospacing="0" w:after="0" w:afterAutospacing="0" w:line="400" w:lineRule="exact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2014年9月22日批复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确山县产业集聚区污水处理厂工程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豫环审【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361号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环保验收手续名称和文号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确山县产业集聚区污水处理厂项目竣工环境保护验收监测报告表。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2019年7月1日取得排污许可证 证件号：914117254188454815001X。</w:t>
      </w:r>
    </w:p>
    <w:p>
      <w:pPr>
        <w:pStyle w:val="9"/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突发环境事件应急预案</w:t>
      </w:r>
    </w:p>
    <w:p>
      <w:pPr>
        <w:pStyle w:val="9"/>
        <w:numPr>
          <w:ilvl w:val="0"/>
          <w:numId w:val="0"/>
        </w:numPr>
        <w:spacing w:line="360" w:lineRule="auto"/>
        <w:ind w:left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6690" cy="4527550"/>
            <wp:effectExtent l="0" t="0" r="10160" b="6350"/>
            <wp:docPr id="4" name="图片 4" descr="产业集聚区应急预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产业集聚区应急预案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52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8" name="图片 8" descr="产业环评批复（1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产业环评批复（1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7" name="图片 7" descr="产业环评批复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产业环评批复（2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6" name="图片 6" descr="产业环评批复（3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产业环评批复（3）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" name="图片 5" descr="产业环评批复（4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产业环评批复（4）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确山县产业集聚区污水处理厂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自行监测方案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为了给厂内正常生产运行提供连续可靠的化验数据，并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响应各级环保部门的号召，完善总量减排监测体系建设，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建立重点企业自行监测信息公开平台的需要，特制定本方案：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确山县产业集聚区污水处理厂选址位于产业集聚区金城大道西侧，生活污水处理厂对面，占地面积近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亩。工程建设规模为2万吨的污水处理厂一座，设计出水水质标准为一级A，项目采用“预处理+二级生化处理+三级深度处理”工艺，总投资5711万元。工程于2014年8月16日开工建设，2015年8月底建设完成，2018年三月底正式投入运行。目前各厂稳定运行，出厂水达标排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二、监测依据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1、原国家环境保护局第10号令《排放污染物申报登记管理规定》1992年；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2、原国家环境保护局第39号令《环境监测管理办法》2007年；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3、国务院办公厅国办发[2013]4号《“十二五”主要污染物总量减排考核办法》2013年；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4、环保部、国家统计局、国家发改委、监察部文件环发[2013]14号《“十二五”主要污染物总量减排监测办法》2013年；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5、《国家重点监控企业自行监测及信息公开办法》（试行）；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6、《城镇污水处理厂污染物排放标准》（GB 18918-2002）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三、污染源及治理措施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我厂主要污染源为城镇生活污水和部分工业污水；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治理措施为：活性污染卡鲁塞尔氧化沟工艺；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排放去向：臻头河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3"/>
        <w:gridCol w:w="1822"/>
        <w:gridCol w:w="4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8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无组织废气检测执行标准及限值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污染物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排放限值</w:t>
            </w:r>
          </w:p>
        </w:tc>
        <w:tc>
          <w:tcPr>
            <w:tcW w:w="402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排放执行标准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氨（氨气）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1.5mg/Nm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402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《城镇污水处理厂污染物排放标准》</w:t>
            </w:r>
          </w:p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（GB 18918-2002）标准限值要求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甲烷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1%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硫化氢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0.06mg/Nm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臭气浓度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氯化氢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0.024mg/Nm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vertAlign w:val="superscript"/>
                <w:lang w:val="en-US" w:eastAsia="zh-CN"/>
              </w:rPr>
              <w:t>3</w:t>
            </w:r>
          </w:p>
        </w:tc>
        <w:tc>
          <w:tcPr>
            <w:tcW w:w="40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《大气污染物综合排放标准》GB16927-1996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val="en-US" w:eastAsia="zh-CN"/>
              </w:rPr>
              <w:t>废水检测执行标准及限值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污染物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排放限值</w:t>
            </w:r>
          </w:p>
        </w:tc>
        <w:tc>
          <w:tcPr>
            <w:tcW w:w="402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排放执行标准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pH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6~9</w:t>
            </w:r>
          </w:p>
        </w:tc>
        <w:tc>
          <w:tcPr>
            <w:tcW w:w="402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《城镇污水处理厂污染物排放标准》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（GB 18918-2002）表1中一级标准A标准同时满足排污许可证限值要求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水温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流量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化学需氧量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氨氮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悬浮物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《城镇污水处理厂污染物排放标准》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（GB 18918-2002）表1中一级标准A标准同时满足排污许可证限值要求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总磷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0.5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色度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总氮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五日生化需氧量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阴离子表面活性剂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0.5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六价铬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0.05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动植物油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石油类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粪大肠菌群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1000个/L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总铬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总汞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0.001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总镉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0.01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总铅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总砷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0.1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烷基汞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mg/L</w:t>
            </w:r>
          </w:p>
        </w:tc>
        <w:tc>
          <w:tcPr>
            <w:tcW w:w="402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653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val="en-US" w:eastAsia="zh-CN"/>
              </w:rPr>
              <w:t>含水率</w:t>
            </w:r>
          </w:p>
        </w:tc>
        <w:tc>
          <w:tcPr>
            <w:tcW w:w="1822" w:type="dxa"/>
            <w:noWrap w:val="0"/>
            <w:vAlign w:val="center"/>
          </w:tcPr>
          <w:p>
            <w:pPr>
              <w:tabs>
                <w:tab w:val="left" w:pos="535"/>
              </w:tabs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402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五、监测内容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1、监测点位</w:t>
      </w:r>
    </w:p>
    <w:tbl>
      <w:tblPr>
        <w:tblStyle w:val="7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6"/>
        <w:gridCol w:w="3540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68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检测点位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检测因子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检测频次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68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厂界外上风向一个点位，下风向三个点位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氨气、硫化氢、臭气浓度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1次/半年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6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甲烷、氯化氢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268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厂区总排口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石油类、五日生化需氧量、六价铬、总铬、总镉、总砷、总汞、总铅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26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both"/>
              <w:rPr>
                <w:rFonts w:hint="default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悬浮物、色度、PH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6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总磷、氨氮、流量、化学需氧量、总氮、阴离子表面活性剂、动植物油、烷基汞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6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粪大肠菌群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1次/半年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68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污泥</w:t>
            </w: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含水率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default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68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4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重金属分析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lang w:val="en-US" w:eastAsia="zh-CN"/>
              </w:rPr>
              <w:t>1次/半年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321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321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321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321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 w:firstLine="321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2、分析测试方法及仪器</w:t>
      </w:r>
    </w:p>
    <w:tbl>
      <w:tblPr>
        <w:tblStyle w:val="6"/>
        <w:tblW w:w="9476" w:type="dxa"/>
        <w:tblInd w:w="-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2970"/>
        <w:gridCol w:w="3143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监测项目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监测方法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使用仪器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检出限值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COD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重铬酸钾法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COD自动监测系统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氨氮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纳氏试剂光度法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氨氮自动监测系统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0.025mg/L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总磷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钼锑抗分光光度法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总磷自动监测系统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0.01mg/L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总氮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紫外分光光度法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总氮自动监测系统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0.05mg/L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PH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tabs>
                <w:tab w:val="left" w:pos="2385"/>
                <w:tab w:val="center" w:pos="4819"/>
              </w:tabs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《水质 pH值的测定 电极法》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HJ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1147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2020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精密 pH计PHS-3C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SYFX-009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动植物油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《水质 石油类和动植物油类的测定红外分光光度法》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HJ 637-2018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红外分光测油仪OIL-480</w:t>
            </w:r>
          </w:p>
          <w:p>
            <w:pPr>
              <w:pStyle w:val="4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SYFX-006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0.06mg/L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粪大肠菌群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《水质 粪大肠菌群的测定 多管发酵法》HJ 347.2-2018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snapToGrid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电热恒温培养箱FX303-1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SYFX-028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20MPN/L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流量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《地表水和污水检测技术规范》（5.3.1 流量测量）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HJ/T 91-2002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便捷式流速测算仪LS300-A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SYCY-035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六价铬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水质 六价铬的测定 二苯碳酰二肼分光光度法》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GB 7467-1987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紫外可见分光光度计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P2型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052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0.004mg/L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色度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《水质 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色度的测定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GB11903-1989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石油类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《水质 石油类和动植物油类的测定红外分光光度法》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HJ 637-2018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红外分光测油仪OIL-480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</w:rPr>
              <w:t>SYFX-006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0.06mg/L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烷基汞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水质 烷基汞的测定 气相色谱法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》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GB/T 14204-1993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GC-4011A型气相色谱仪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甲基汞10ng/L乙基汞20ng/L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悬浮物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《水质 悬浮物的测定 重量法》GB 11901-1989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电子天平FA1004-505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SYFX-023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五日生化需氧量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水质 五日生化需氧量BOD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vertAlign w:val="subscript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的测定 稀释与接种法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HJ 505-2009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  <w:t>生化培养箱SHX150III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  <w:t>SYFY-027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0.5mg/L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阴离子表面活性剂（LAS）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《水质 阴离子表面活性剂的测定亚甲蓝分光光度法》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GB 7494-1987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紫外可见分光光度计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P2型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052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0.05mg/L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总铬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《水质 铬的测定 火焰原子吸收分光光度法》HJ 757-2015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原子吸收分光光度计AA58F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SYFX-005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0.03mg/L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总汞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color="auto" w:fill="F5F8FA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《水质 汞、砷、硒、铋和锑的测定 原子荧光法》HJ 694-2014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原子荧光分光光度计AFS-8220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SYFX-004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0.0004mg/L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总铅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水质 铜、锌、铅、镉的测定 原子吸收分光光度法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》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GB 7475-1987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原子吸收分光光度计AA58F</w:t>
            </w:r>
          </w:p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SYFX-005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0.001mg/L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总砷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《水质 汞、砷、硒、铋和锑的测定 原子荧光法》HJ 694-2014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原子荧光分光光度计AFS-8220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SYFX-004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0.0003mg/L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总镉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《水质 铜、锌、铅、镉的测定 原子吸收分光光度法》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GB 7475-1987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原子吸收分光光度计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AA58F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SYFX-005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0.0001mg/L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氨（氨气）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《环境空气和废气 氨的测定 纳氏试剂分光光度法》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HJ 533-2009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紫外可见分光光度计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P2型</w:t>
            </w:r>
          </w:p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052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0.01mg/m3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臭氧浓度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pStyle w:val="11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《空气质量 恶臭的测定 三点比较式臭袋法》GB/T 14675-93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硫化氢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《空气和废气监测分析方法  第四版增补版国家环境保护总局（2003年）》3.1.11.2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紫外可见分光光度计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P2型</w:t>
            </w:r>
          </w:p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052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0.001mg/m3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氯化氢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《固定污染源排气中氯化氢的测定 硫氰酸汞分光光度法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》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HJ/T 27-1999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紫外可见分光光度计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UVmini-1240</w:t>
            </w:r>
          </w:p>
          <w:p>
            <w:pPr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SYFX-017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0.05mg/m3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 w:firstLine="240" w:firstLineChars="1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甲烷</w:t>
            </w:r>
          </w:p>
        </w:tc>
        <w:tc>
          <w:tcPr>
            <w:tcW w:w="2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《环境空气 总烃、甲烷和非甲总烃的测定 直接进样-气相色谱法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HJ 604-2017</w:t>
            </w:r>
          </w:p>
        </w:tc>
        <w:tc>
          <w:tcPr>
            <w:tcW w:w="3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气相色谱仪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A91PLUS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SYFX-001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0.06mg/m3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污泥含水率</w:t>
            </w:r>
          </w:p>
        </w:tc>
        <w:tc>
          <w:tcPr>
            <w:tcW w:w="29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《城市污水处理厂污泥检验方法（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13 细菌总数的测定 平皿计数法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  <w:t>）》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CJ/T 221-2005</w:t>
            </w:r>
          </w:p>
        </w:tc>
        <w:tc>
          <w:tcPr>
            <w:tcW w:w="31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autoSpaceDE/>
              <w:autoSpaceDN/>
              <w:bidi w:val="0"/>
              <w:snapToGrid w:val="0"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电热恒温培养箱FX303-1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SYFX-028</w:t>
            </w:r>
          </w:p>
        </w:tc>
        <w:tc>
          <w:tcPr>
            <w:tcW w:w="174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default" w:ascii="Times New Roman" w:hAnsi="Times New Roman" w:cs="Times New Roman"/>
          <w:b/>
          <w:sz w:val="28"/>
          <w:szCs w:val="28"/>
          <w:lang w:eastAsia="zh-CN"/>
        </w:rPr>
        <w:t>检</w:t>
      </w:r>
      <w:r>
        <w:rPr>
          <w:rFonts w:hint="default" w:ascii="Times New Roman" w:hAnsi="Times New Roman" w:cs="Times New Roman"/>
          <w:b/>
          <w:sz w:val="28"/>
          <w:szCs w:val="28"/>
        </w:rPr>
        <w:t>测质量保证</w:t>
      </w:r>
    </w:p>
    <w:p>
      <w:pPr>
        <w:spacing w:line="520" w:lineRule="exact"/>
        <w:ind w:firstLine="640" w:firstLineChars="200"/>
        <w:rPr>
          <w:rFonts w:hint="default" w:ascii="Times New Roman" w:hAnsi="Times New Roman" w:cs="Times New Roman"/>
          <w:b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color w:val="000000"/>
          <w:sz w:val="32"/>
          <w:szCs w:val="32"/>
        </w:rPr>
        <w:t>按照《自行监测技术指南  总则》的要求，委托其它有资质的检测机构代其开展自行</w:t>
      </w:r>
      <w:r>
        <w:rPr>
          <w:rFonts w:hint="default" w:ascii="Times New Roman" w:hAnsi="Times New Roman" w:cs="Times New Roman"/>
          <w:color w:val="000000"/>
          <w:sz w:val="32"/>
          <w:szCs w:val="32"/>
          <w:lang w:eastAsia="zh-CN"/>
        </w:rPr>
        <w:t>检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测的，排污单位不用建立</w:t>
      </w:r>
      <w:r>
        <w:rPr>
          <w:rFonts w:hint="default" w:ascii="Times New Roman" w:hAnsi="Times New Roman" w:cs="Times New Roman"/>
          <w:color w:val="000000"/>
          <w:sz w:val="32"/>
          <w:szCs w:val="32"/>
          <w:lang w:eastAsia="zh-CN"/>
        </w:rPr>
        <w:t>检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测质量体系，但应对检测机构的资质进行确认。我单位自行</w:t>
      </w:r>
      <w:r>
        <w:rPr>
          <w:rFonts w:hint="default" w:ascii="Times New Roman" w:hAnsi="Times New Roman" w:cs="Times New Roman"/>
          <w:color w:val="000000"/>
          <w:sz w:val="32"/>
          <w:szCs w:val="32"/>
          <w:lang w:eastAsia="zh-CN"/>
        </w:rPr>
        <w:t>检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测委托第三方检测单位开展，不需建立</w:t>
      </w:r>
      <w:r>
        <w:rPr>
          <w:rFonts w:hint="default" w:ascii="Times New Roman" w:hAnsi="Times New Roman" w:cs="Times New Roman"/>
          <w:color w:val="000000"/>
          <w:sz w:val="32"/>
          <w:szCs w:val="32"/>
          <w:lang w:eastAsia="zh-CN"/>
        </w:rPr>
        <w:t>检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测质量保证与质量控制体系，委托</w:t>
      </w:r>
      <w:r>
        <w:rPr>
          <w:rFonts w:hint="default" w:ascii="Times New Roman" w:hAnsi="Times New Roman" w:cs="Times New Roman"/>
          <w:color w:val="000000"/>
          <w:sz w:val="32"/>
          <w:szCs w:val="32"/>
          <w:lang w:eastAsia="zh-CN"/>
        </w:rPr>
        <w:t>检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测前将对</w:t>
      </w:r>
      <w:r>
        <w:rPr>
          <w:rFonts w:hint="default" w:ascii="Times New Roman" w:hAnsi="Times New Roman" w:cs="Times New Roman"/>
          <w:color w:val="000000"/>
          <w:sz w:val="32"/>
          <w:szCs w:val="32"/>
          <w:lang w:eastAsia="zh-CN"/>
        </w:rPr>
        <w:t>检</w:t>
      </w:r>
      <w:r>
        <w:rPr>
          <w:rFonts w:hint="default" w:ascii="Times New Roman" w:hAnsi="Times New Roman" w:cs="Times New Roman"/>
          <w:color w:val="000000"/>
          <w:sz w:val="32"/>
          <w:szCs w:val="32"/>
        </w:rPr>
        <w:t>测机构的资质进行确认。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Chars="200" w:right="0" w:rightChars="0" w:firstLine="321" w:firstLineChars="1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七、监测点位示意图(附件2)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drawing>
          <wp:inline distT="0" distB="0" distL="114300" distR="114300">
            <wp:extent cx="6278880" cy="4710430"/>
            <wp:effectExtent l="0" t="0" r="7620" b="13970"/>
            <wp:docPr id="2" name="图片 1" descr="三污废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三污废水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471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6301105" cy="4727575"/>
            <wp:effectExtent l="0" t="0" r="4445" b="15875"/>
            <wp:docPr id="1" name="图片 2" descr="三污废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三污废气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472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确山县产业集聚区污水处理厂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01F8E1"/>
    <w:multiLevelType w:val="singleLevel"/>
    <w:tmpl w:val="0901F8E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M2RkNzg0YzkzZjc2M2ZjZDMwMzA0MzZkNWVmZDcifQ=="/>
  </w:docVars>
  <w:rsids>
    <w:rsidRoot w:val="383F60FD"/>
    <w:rsid w:val="15787ABD"/>
    <w:rsid w:val="1C446B02"/>
    <w:rsid w:val="1CBF001C"/>
    <w:rsid w:val="383F60FD"/>
    <w:rsid w:val="440E60A3"/>
    <w:rsid w:val="45A2609E"/>
    <w:rsid w:val="45D6562F"/>
    <w:rsid w:val="52DC3E33"/>
    <w:rsid w:val="5BC86009"/>
    <w:rsid w:val="6BFD769C"/>
    <w:rsid w:val="776A25C4"/>
    <w:rsid w:val="7D12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3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jc w:val="center"/>
    </w:pPr>
    <w:rPr>
      <w:szCs w:val="20"/>
    </w:rPr>
  </w:style>
  <w:style w:type="paragraph" w:styleId="4">
    <w:name w:val="Block Text"/>
    <w:basedOn w:val="1"/>
    <w:unhideWhenUsed/>
    <w:qFormat/>
    <w:uiPriority w:val="0"/>
    <w:pPr>
      <w:snapToGrid w:val="0"/>
      <w:spacing w:line="408" w:lineRule="auto"/>
      <w:ind w:left="-113" w:right="-510" w:firstLine="510"/>
    </w:pPr>
    <w:rPr>
      <w:sz w:val="24"/>
      <w:szCs w:val="20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p0"/>
    <w:basedOn w:val="1"/>
    <w:qFormat/>
    <w:uiPriority w:val="0"/>
    <w:pPr>
      <w:jc w:val="both"/>
    </w:pPr>
    <w:rPr>
      <w:sz w:val="21"/>
      <w:szCs w:val="21"/>
    </w:rPr>
  </w:style>
  <w:style w:type="paragraph" w:customStyle="1" w:styleId="10">
    <w:name w:val="表格"/>
    <w:basedOn w:val="1"/>
    <w:qFormat/>
    <w:uiPriority w:val="0"/>
    <w:pPr>
      <w:keepNext/>
      <w:adjustRightInd w:val="0"/>
      <w:spacing w:line="360" w:lineRule="auto"/>
      <w:jc w:val="center"/>
      <w:textAlignment w:val="baseline"/>
    </w:pPr>
    <w:rPr>
      <w:kern w:val="0"/>
      <w:sz w:val="24"/>
      <w:szCs w:val="20"/>
    </w:rPr>
  </w:style>
  <w:style w:type="paragraph" w:customStyle="1" w:styleId="11">
    <w:name w:val="表中文字1"/>
    <w:qFormat/>
    <w:uiPriority w:val="0"/>
    <w:pPr>
      <w:widowControl w:val="0"/>
      <w:adjustRightInd w:val="0"/>
      <w:snapToGrid w:val="0"/>
      <w:jc w:val="center"/>
    </w:pPr>
    <w:rPr>
      <w:rFonts w:ascii="Times New Roman" w:hAnsi="Times New Roman" w:eastAsia="宋体" w:cs="Times New Roman"/>
      <w:color w:val="000000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2636</Words>
  <Characters>3601</Characters>
  <Lines>0</Lines>
  <Paragraphs>0</Paragraphs>
  <TotalTime>1</TotalTime>
  <ScaleCrop>false</ScaleCrop>
  <LinksUpToDate>false</LinksUpToDate>
  <CharactersWithSpaces>3675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2020-12-08T07:19:00Z</dcterms:created>
  <dc:creator>Administrator</dc:creator>
  <cp:lastModifiedBy>꯭小꯭时꯭候꯭可꯭牛꯭了꯭</cp:lastModifiedBy>
  <dcterms:modified xsi:type="dcterms:W3CDTF">2023-01-17T01:10:26Z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BD33C6BB98B440FAB3262E6067176C76</vt:lpwstr>
  </property>
</Properties>
</file>