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overflowPunct/>
        <w:topLinePunct w:val="0"/>
        <w:autoSpaceDE/>
        <w:autoSpaceDN/>
        <w:bidi w:val="0"/>
        <w:adjustRightInd/>
        <w:snapToGrid w:val="0"/>
        <w:spacing w:beforeAutospacing="0" w:afterAutospacing="0" w:line="500" w:lineRule="exact"/>
        <w:ind w:left="0" w:leftChars="0" w:firstLine="643" w:firstLineChars="200"/>
        <w:jc w:val="center"/>
        <w:rPr>
          <w:rFonts w:hint="eastAsia" w:ascii="黑体" w:hAnsi="宋体" w:eastAsia="黑体" w:cs="宋体"/>
          <w:b/>
          <w:kern w:val="0"/>
          <w:sz w:val="32"/>
          <w:szCs w:val="32"/>
        </w:rPr>
      </w:pPr>
      <w:r>
        <w:rPr>
          <w:rFonts w:hint="eastAsia" w:ascii="黑体" w:hAnsi="宋体" w:eastAsia="黑体" w:cs="宋体"/>
          <w:b/>
          <w:kern w:val="0"/>
          <w:sz w:val="32"/>
          <w:szCs w:val="32"/>
        </w:rPr>
        <w:t>招标公告</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2" w:firstLineChars="200"/>
        <w:rPr>
          <w:rFonts w:hint="eastAsia" w:ascii="宋体" w:hAnsi="宋体" w:eastAsia="宋体" w:cs="宋体"/>
          <w:b/>
          <w:color w:val="auto"/>
          <w:sz w:val="24"/>
          <w:szCs w:val="24"/>
        </w:rPr>
      </w:pPr>
      <w:bookmarkStart w:id="0" w:name="_Toc35393621"/>
      <w:bookmarkStart w:id="1" w:name="_Toc28359079"/>
      <w:bookmarkStart w:id="2" w:name="_Toc28359002"/>
      <w:bookmarkStart w:id="3" w:name="_Toc35393790"/>
      <w:bookmarkStart w:id="4" w:name="_Hlk24379207"/>
      <w:r>
        <w:rPr>
          <w:rFonts w:hint="eastAsia" w:ascii="宋体" w:hAnsi="宋体" w:eastAsia="宋体" w:cs="宋体"/>
          <w:b/>
          <w:color w:val="auto"/>
          <w:sz w:val="24"/>
          <w:szCs w:val="24"/>
        </w:rPr>
        <w:t>一、项目基本情况</w:t>
      </w:r>
      <w:bookmarkEnd w:id="0"/>
      <w:bookmarkEnd w:id="1"/>
      <w:bookmarkEnd w:id="2"/>
      <w:bookmarkEnd w:id="3"/>
      <w:r>
        <w:rPr>
          <w:rFonts w:hint="eastAsia" w:ascii="宋体" w:hAnsi="宋体" w:eastAsia="宋体" w:cs="宋体"/>
          <w:b/>
          <w:color w:val="auto"/>
          <w:sz w:val="24"/>
          <w:szCs w:val="24"/>
        </w:rPr>
        <w:t>：</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bCs/>
          <w:color w:val="auto"/>
          <w:sz w:val="24"/>
          <w:szCs w:val="24"/>
        </w:rPr>
      </w:pPr>
      <w:r>
        <w:rPr>
          <w:rFonts w:hint="eastAsia" w:ascii="宋体" w:hAnsi="宋体" w:eastAsia="宋体" w:cs="宋体"/>
          <w:color w:val="auto"/>
          <w:sz w:val="24"/>
          <w:szCs w:val="24"/>
        </w:rPr>
        <w:t>1.项目编号：</w:t>
      </w:r>
      <w:r>
        <w:rPr>
          <w:rFonts w:hint="eastAsia" w:ascii="宋体" w:hAnsi="宋体" w:eastAsia="宋体" w:cs="宋体"/>
          <w:b w:val="0"/>
          <w:bCs/>
          <w:kern w:val="0"/>
          <w:sz w:val="24"/>
          <w:szCs w:val="24"/>
          <w:highlight w:val="none"/>
          <w:lang w:val="en-US" w:eastAsia="zh-CN"/>
        </w:rPr>
        <w:t>确清源水招2024-01号</w:t>
      </w:r>
      <w:r>
        <w:rPr>
          <w:rFonts w:hint="eastAsia" w:ascii="宋体" w:hAnsi="宋体" w:eastAsia="宋体" w:cs="宋体"/>
          <w:b w:val="0"/>
          <w:bCs/>
          <w:color w:val="auto"/>
          <w:sz w:val="24"/>
          <w:szCs w:val="24"/>
          <w:lang w:val="en-US" w:eastAsia="zh-CN"/>
        </w:rPr>
        <w:t xml:space="preserve"> </w:t>
      </w:r>
      <w:r>
        <w:rPr>
          <w:rFonts w:hint="eastAsia" w:ascii="宋体" w:hAnsi="宋体" w:eastAsia="宋体" w:cs="宋体"/>
          <w:color w:val="auto"/>
          <w:kern w:val="0"/>
          <w:sz w:val="24"/>
          <w:szCs w:val="24"/>
        </w:rPr>
        <w:t xml:space="preserve">     </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b w:val="0"/>
          <w:bCs w:val="0"/>
          <w:kern w:val="1"/>
          <w:sz w:val="24"/>
          <w:szCs w:val="24"/>
          <w:lang w:eastAsia="zh-CN"/>
        </w:rPr>
      </w:pPr>
      <w:r>
        <w:rPr>
          <w:rFonts w:hint="eastAsia" w:ascii="宋体" w:hAnsi="宋体" w:eastAsia="宋体" w:cs="宋体"/>
          <w:color w:val="auto"/>
          <w:sz w:val="24"/>
          <w:szCs w:val="24"/>
        </w:rPr>
        <w:t>2.项目名称：</w:t>
      </w:r>
      <w:r>
        <w:rPr>
          <w:rFonts w:hint="eastAsia" w:ascii="宋体" w:hAnsi="宋体" w:eastAsia="宋体" w:cs="宋体"/>
          <w:b w:val="0"/>
          <w:bCs w:val="0"/>
          <w:spacing w:val="9"/>
          <w:sz w:val="24"/>
          <w:szCs w:val="24"/>
          <w:lang w:val="en-US" w:eastAsia="zh-CN"/>
        </w:rPr>
        <w:t>确山县清源污水处理有限公司</w:t>
      </w:r>
      <w:r>
        <w:rPr>
          <w:rFonts w:hint="eastAsia" w:ascii="宋体" w:hAnsi="宋体" w:eastAsia="宋体" w:cs="宋体"/>
          <w:b w:val="0"/>
          <w:bCs w:val="0"/>
          <w:kern w:val="1"/>
          <w:sz w:val="24"/>
          <w:szCs w:val="24"/>
          <w:lang w:val="en-US" w:eastAsia="zh-CN"/>
        </w:rPr>
        <w:t>水处理</w:t>
      </w:r>
      <w:r>
        <w:rPr>
          <w:rFonts w:hint="eastAsia" w:ascii="宋体" w:hAnsi="宋体" w:eastAsia="宋体" w:cs="宋体"/>
          <w:b w:val="0"/>
          <w:bCs w:val="0"/>
          <w:kern w:val="1"/>
          <w:sz w:val="24"/>
          <w:szCs w:val="24"/>
          <w:lang w:eastAsia="zh-CN"/>
        </w:rPr>
        <w:t>药剂采购项目</w:t>
      </w:r>
      <w:bookmarkStart w:id="5" w:name="_GoBack"/>
      <w:bookmarkEnd w:id="5"/>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3.采购方式：</w:t>
      </w:r>
      <w:bookmarkEnd w:id="4"/>
      <w:r>
        <w:rPr>
          <w:rFonts w:hint="eastAsia" w:ascii="宋体" w:hAnsi="宋体" w:eastAsia="宋体" w:cs="宋体"/>
          <w:color w:val="auto"/>
          <w:sz w:val="24"/>
          <w:szCs w:val="24"/>
        </w:rPr>
        <w:t>公开招标</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rPr>
      </w:pPr>
      <w:r>
        <w:rPr>
          <w:rFonts w:hint="eastAsia" w:ascii="宋体" w:hAnsi="宋体" w:eastAsia="宋体" w:cs="宋体"/>
          <w:kern w:val="1"/>
          <w:sz w:val="24"/>
          <w:szCs w:val="24"/>
        </w:rPr>
        <w:t>4、预算金额：</w:t>
      </w:r>
    </w:p>
    <w:tbl>
      <w:tblPr>
        <w:tblStyle w:val="12"/>
        <w:tblpPr w:leftFromText="180" w:rightFromText="180" w:vertAnchor="text" w:horzAnchor="page" w:tblpXSpec="center" w:tblpY="64"/>
        <w:tblOverlap w:val="never"/>
        <w:tblW w:w="9073" w:type="dxa"/>
        <w:jc w:val="center"/>
        <w:tblLayout w:type="fixed"/>
        <w:tblCellMar>
          <w:top w:w="0" w:type="dxa"/>
          <w:left w:w="108" w:type="dxa"/>
          <w:bottom w:w="0" w:type="dxa"/>
          <w:right w:w="108" w:type="dxa"/>
        </w:tblCellMar>
      </w:tblPr>
      <w:tblGrid>
        <w:gridCol w:w="885"/>
        <w:gridCol w:w="775"/>
        <w:gridCol w:w="1475"/>
        <w:gridCol w:w="1500"/>
        <w:gridCol w:w="2100"/>
        <w:gridCol w:w="2338"/>
      </w:tblGrid>
      <w:tr>
        <w:trPr>
          <w:trHeight w:val="660" w:hRule="atLeast"/>
          <w:jc w:val="center"/>
        </w:trPr>
        <w:tc>
          <w:tcPr>
            <w:tcW w:w="885" w:type="dxa"/>
            <w:tcBorders>
              <w:top w:val="single" w:color="000000" w:sz="8" w:space="0"/>
              <w:left w:val="single" w:color="000000" w:sz="8" w:space="0"/>
              <w:bottom w:val="single" w:color="000000" w:sz="4" w:space="0"/>
              <w:right w:val="single" w:color="000000" w:sz="8"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序号</w:t>
            </w:r>
          </w:p>
        </w:tc>
        <w:tc>
          <w:tcPr>
            <w:tcW w:w="775" w:type="dxa"/>
            <w:tcBorders>
              <w:top w:val="single" w:color="000000" w:sz="8" w:space="0"/>
              <w:bottom w:val="single" w:color="000000" w:sz="4" w:space="0"/>
              <w:right w:val="single" w:color="000000" w:sz="8"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eastAsia="zh-CN"/>
              </w:rPr>
              <w:t>包号</w:t>
            </w:r>
          </w:p>
        </w:tc>
        <w:tc>
          <w:tcPr>
            <w:tcW w:w="1475" w:type="dxa"/>
            <w:tcBorders>
              <w:top w:val="single" w:color="000000" w:sz="8" w:space="0"/>
              <w:bottom w:val="single" w:color="000000" w:sz="4" w:space="0"/>
              <w:right w:val="single" w:color="000000" w:sz="8"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eastAsia="zh-CN"/>
              </w:rPr>
              <w:t>包名称</w:t>
            </w:r>
          </w:p>
        </w:tc>
        <w:tc>
          <w:tcPr>
            <w:tcW w:w="1500" w:type="dxa"/>
            <w:tcBorders>
              <w:top w:val="single" w:color="000000" w:sz="8" w:space="0"/>
              <w:bottom w:val="single" w:color="000000" w:sz="4" w:space="0"/>
              <w:right w:val="single" w:color="000000" w:sz="8"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药剂名称</w:t>
            </w:r>
          </w:p>
        </w:tc>
        <w:tc>
          <w:tcPr>
            <w:tcW w:w="2100" w:type="dxa"/>
            <w:tcBorders>
              <w:top w:val="single" w:color="000000" w:sz="8" w:space="0"/>
              <w:bottom w:val="single" w:color="000000" w:sz="4" w:space="0"/>
              <w:right w:val="single" w:color="000000" w:sz="8"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数量</w:t>
            </w:r>
          </w:p>
        </w:tc>
        <w:tc>
          <w:tcPr>
            <w:tcW w:w="2338" w:type="dxa"/>
            <w:tcBorders>
              <w:top w:val="single" w:color="000000" w:sz="8"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eastAsia="zh-CN"/>
              </w:rPr>
            </w:pPr>
            <w:r>
              <w:rPr>
                <w:rFonts w:hint="eastAsia" w:ascii="宋体" w:hAnsi="宋体" w:eastAsia="宋体" w:cs="宋体"/>
                <w:color w:val="333333"/>
                <w:sz w:val="24"/>
                <w:szCs w:val="24"/>
                <w:shd w:val="clear" w:color="auto" w:fill="FFFFFF"/>
                <w:lang w:eastAsia="zh-CN"/>
              </w:rPr>
              <w:t>包最高限价（元</w:t>
            </w:r>
            <w:r>
              <w:rPr>
                <w:rFonts w:hint="eastAsia" w:ascii="宋体" w:hAnsi="宋体" w:eastAsia="宋体" w:cs="宋体"/>
                <w:color w:val="333333"/>
                <w:sz w:val="24"/>
                <w:szCs w:val="24"/>
                <w:shd w:val="clear" w:color="auto" w:fill="FFFFFF"/>
                <w:lang w:val="en-US" w:eastAsia="zh-CN"/>
              </w:rPr>
              <w:t>/吨</w:t>
            </w:r>
            <w:r>
              <w:rPr>
                <w:rFonts w:hint="eastAsia" w:ascii="宋体" w:hAnsi="宋体" w:eastAsia="宋体" w:cs="宋体"/>
                <w:color w:val="333333"/>
                <w:sz w:val="24"/>
                <w:szCs w:val="24"/>
                <w:shd w:val="clear" w:color="auto" w:fill="FFFFFF"/>
                <w:lang w:eastAsia="zh-CN"/>
              </w:rPr>
              <w:t>）</w:t>
            </w:r>
          </w:p>
        </w:tc>
      </w:tr>
      <w:tr>
        <w:tblPrEx>
          <w:tblCellMar>
            <w:top w:w="0" w:type="dxa"/>
            <w:left w:w="108" w:type="dxa"/>
            <w:bottom w:w="0" w:type="dxa"/>
            <w:right w:w="108" w:type="dxa"/>
          </w:tblCellMar>
        </w:tblPrEx>
        <w:trPr>
          <w:trHeight w:val="775" w:hRule="atLeast"/>
          <w:jc w:val="center"/>
        </w:trPr>
        <w:tc>
          <w:tcPr>
            <w:tcW w:w="8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1</w:t>
            </w:r>
          </w:p>
        </w:tc>
        <w:tc>
          <w:tcPr>
            <w:tcW w:w="7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A包</w:t>
            </w:r>
          </w:p>
        </w:tc>
        <w:tc>
          <w:tcPr>
            <w:tcW w:w="1475" w:type="dxa"/>
            <w:vMerge w:val="restart"/>
            <w:tcBorders>
              <w:top w:val="single" w:color="000000" w:sz="4" w:space="0"/>
              <w:left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rPr>
            </w:pPr>
            <w:r>
              <w:rPr>
                <w:rFonts w:hint="eastAsia" w:ascii="宋体" w:hAnsi="宋体" w:eastAsia="宋体" w:cs="宋体"/>
                <w:b w:val="0"/>
                <w:bCs w:val="0"/>
                <w:spacing w:val="9"/>
                <w:sz w:val="24"/>
                <w:szCs w:val="24"/>
                <w:lang w:val="en-US" w:eastAsia="zh-CN"/>
              </w:rPr>
              <w:t>确山县清源污水处理有限公司</w:t>
            </w:r>
            <w:r>
              <w:rPr>
                <w:rFonts w:hint="eastAsia" w:ascii="宋体" w:hAnsi="宋体" w:eastAsia="宋体" w:cs="宋体"/>
                <w:b w:val="0"/>
                <w:bCs w:val="0"/>
                <w:kern w:val="1"/>
                <w:sz w:val="24"/>
                <w:szCs w:val="24"/>
                <w:lang w:val="en-US" w:eastAsia="zh-CN"/>
              </w:rPr>
              <w:t>水处理</w:t>
            </w:r>
            <w:r>
              <w:rPr>
                <w:rFonts w:hint="eastAsia" w:ascii="宋体" w:hAnsi="宋体" w:eastAsia="宋体" w:cs="宋体"/>
                <w:b w:val="0"/>
                <w:bCs w:val="0"/>
                <w:kern w:val="1"/>
                <w:sz w:val="24"/>
                <w:szCs w:val="24"/>
                <w:lang w:eastAsia="zh-CN"/>
              </w:rPr>
              <w:t>药剂采购项目</w:t>
            </w: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b w:val="0"/>
                <w:bCs w:val="0"/>
                <w:color w:val="333333"/>
                <w:sz w:val="24"/>
                <w:szCs w:val="24"/>
                <w:shd w:val="clear" w:color="auto" w:fill="FFFFFF"/>
                <w:lang w:val="en-US" w:eastAsia="zh-CN"/>
              </w:rPr>
            </w:pPr>
            <w:r>
              <w:rPr>
                <w:rFonts w:hint="eastAsia" w:ascii="宋体" w:hAnsi="宋体" w:eastAsia="宋体" w:cs="宋体"/>
                <w:b w:val="0"/>
                <w:bCs w:val="0"/>
                <w:color w:val="333333"/>
                <w:sz w:val="24"/>
                <w:szCs w:val="24"/>
                <w:shd w:val="clear" w:color="auto" w:fill="FFFFFF"/>
                <w:lang w:val="en-US" w:eastAsia="zh-CN"/>
              </w:rPr>
              <w:t>除磷剂</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both"/>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约1000吨（以实际生产需要为准）</w:t>
            </w:r>
          </w:p>
        </w:tc>
        <w:tc>
          <w:tcPr>
            <w:tcW w:w="23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default"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600</w:t>
            </w:r>
          </w:p>
        </w:tc>
      </w:tr>
      <w:tr>
        <w:tblPrEx>
          <w:tblCellMar>
            <w:top w:w="0" w:type="dxa"/>
            <w:left w:w="108" w:type="dxa"/>
            <w:bottom w:w="0" w:type="dxa"/>
            <w:right w:w="108" w:type="dxa"/>
          </w:tblCellMar>
        </w:tblPrEx>
        <w:trPr>
          <w:trHeight w:val="523" w:hRule="atLeast"/>
          <w:jc w:val="center"/>
        </w:trPr>
        <w:tc>
          <w:tcPr>
            <w:tcW w:w="88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2</w:t>
            </w:r>
          </w:p>
        </w:tc>
        <w:tc>
          <w:tcPr>
            <w:tcW w:w="775"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B包</w:t>
            </w:r>
          </w:p>
        </w:tc>
        <w:tc>
          <w:tcPr>
            <w:tcW w:w="1475" w:type="dxa"/>
            <w:vMerge w:val="continue"/>
            <w:tcBorders>
              <w:left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516" w:firstLineChars="200"/>
              <w:jc w:val="center"/>
              <w:rPr>
                <w:rFonts w:hint="eastAsia" w:ascii="宋体" w:hAnsi="宋体" w:eastAsia="宋体" w:cs="宋体"/>
                <w:b w:val="0"/>
                <w:bCs w:val="0"/>
                <w:spacing w:val="9"/>
                <w:sz w:val="24"/>
                <w:szCs w:val="24"/>
                <w:lang w:val="en-US" w:eastAsia="zh-CN"/>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b w:val="0"/>
                <w:bCs w:val="0"/>
                <w:color w:val="333333"/>
                <w:sz w:val="24"/>
                <w:szCs w:val="24"/>
                <w:shd w:val="clear" w:color="auto" w:fill="FFFFFF"/>
                <w:lang w:val="en-US" w:eastAsia="zh-CN"/>
              </w:rPr>
            </w:pPr>
            <w:r>
              <w:rPr>
                <w:rFonts w:hint="eastAsia" w:ascii="宋体" w:hAnsi="宋体" w:eastAsia="宋体" w:cs="宋体"/>
                <w:b w:val="0"/>
                <w:bCs w:val="0"/>
                <w:color w:val="333333"/>
                <w:sz w:val="24"/>
                <w:szCs w:val="24"/>
                <w:shd w:val="clear" w:color="auto" w:fill="FFFFFF"/>
                <w:lang w:val="en-US" w:eastAsia="zh-CN"/>
              </w:rPr>
              <w:t>复合碳源</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both"/>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约1000吨（以实际生产需要为准）</w:t>
            </w:r>
          </w:p>
        </w:tc>
        <w:tc>
          <w:tcPr>
            <w:tcW w:w="23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default"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1100</w:t>
            </w:r>
          </w:p>
        </w:tc>
      </w:tr>
      <w:tr>
        <w:tblPrEx>
          <w:tblCellMar>
            <w:top w:w="0" w:type="dxa"/>
            <w:left w:w="108" w:type="dxa"/>
            <w:bottom w:w="0" w:type="dxa"/>
            <w:right w:w="108" w:type="dxa"/>
          </w:tblCellMar>
        </w:tblPrEx>
        <w:trPr>
          <w:trHeight w:val="523" w:hRule="atLeast"/>
          <w:jc w:val="center"/>
        </w:trPr>
        <w:tc>
          <w:tcPr>
            <w:tcW w:w="88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3</w:t>
            </w:r>
          </w:p>
        </w:tc>
        <w:tc>
          <w:tcPr>
            <w:tcW w:w="775"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keepNext w:val="0"/>
              <w:keepLines w:val="0"/>
              <w:pageBreakBefore w:val="0"/>
              <w:kinsoku/>
              <w:overflowPunct/>
              <w:topLinePunct w:val="0"/>
              <w:autoSpaceDE/>
              <w:autoSpaceDN/>
              <w:bidi w:val="0"/>
              <w:adjustRightInd/>
              <w:spacing w:beforeAutospacing="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C包</w:t>
            </w:r>
          </w:p>
        </w:tc>
        <w:tc>
          <w:tcPr>
            <w:tcW w:w="1475" w:type="dxa"/>
            <w:vMerge w:val="continue"/>
            <w:tcBorders>
              <w:left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516" w:firstLineChars="200"/>
              <w:jc w:val="center"/>
              <w:rPr>
                <w:rFonts w:hint="eastAsia" w:ascii="宋体" w:hAnsi="宋体" w:eastAsia="宋体" w:cs="宋体"/>
                <w:b w:val="0"/>
                <w:bCs w:val="0"/>
                <w:spacing w:val="9"/>
                <w:sz w:val="24"/>
                <w:szCs w:val="24"/>
                <w:lang w:val="en-US" w:eastAsia="zh-CN"/>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b w:val="0"/>
                <w:bCs w:val="0"/>
                <w:color w:val="333333"/>
                <w:sz w:val="24"/>
                <w:szCs w:val="24"/>
                <w:shd w:val="clear" w:color="auto" w:fill="FFFFFF"/>
                <w:lang w:val="en-US" w:eastAsia="zh-CN"/>
              </w:rPr>
            </w:pPr>
            <w:r>
              <w:rPr>
                <w:rFonts w:hint="eastAsia" w:ascii="宋体" w:hAnsi="宋体" w:eastAsia="宋体" w:cs="宋体"/>
                <w:b w:val="0"/>
                <w:bCs w:val="0"/>
                <w:color w:val="auto"/>
                <w:sz w:val="24"/>
                <w:szCs w:val="24"/>
                <w:lang w:val="en-US" w:eastAsia="zh-CN"/>
              </w:rPr>
              <w:t>乙酸钠</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both"/>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约</w:t>
            </w:r>
            <w:r>
              <w:rPr>
                <w:rFonts w:hint="eastAsia" w:ascii="宋体" w:hAnsi="宋体" w:eastAsia="宋体" w:cs="宋体"/>
                <w:color w:val="auto"/>
                <w:sz w:val="24"/>
                <w:szCs w:val="24"/>
                <w:lang w:val="en-US" w:eastAsia="zh-CN"/>
              </w:rPr>
              <w:t>2000吨</w:t>
            </w:r>
            <w:r>
              <w:rPr>
                <w:rFonts w:hint="eastAsia" w:ascii="宋体" w:hAnsi="宋体" w:eastAsia="宋体" w:cs="宋体"/>
                <w:color w:val="333333"/>
                <w:sz w:val="24"/>
                <w:szCs w:val="24"/>
                <w:shd w:val="clear" w:color="auto" w:fill="FFFFFF"/>
                <w:lang w:val="en-US" w:eastAsia="zh-CN"/>
              </w:rPr>
              <w:t>（以实际生产需要为准）</w:t>
            </w:r>
          </w:p>
        </w:tc>
        <w:tc>
          <w:tcPr>
            <w:tcW w:w="23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default"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1500</w:t>
            </w:r>
          </w:p>
        </w:tc>
      </w:tr>
      <w:tr>
        <w:tblPrEx>
          <w:tblCellMar>
            <w:top w:w="0" w:type="dxa"/>
            <w:left w:w="108" w:type="dxa"/>
            <w:bottom w:w="0" w:type="dxa"/>
            <w:right w:w="108" w:type="dxa"/>
          </w:tblCellMar>
        </w:tblPrEx>
        <w:trPr>
          <w:trHeight w:val="523" w:hRule="atLeast"/>
          <w:jc w:val="center"/>
        </w:trPr>
        <w:tc>
          <w:tcPr>
            <w:tcW w:w="88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4</w:t>
            </w:r>
          </w:p>
        </w:tc>
        <w:tc>
          <w:tcPr>
            <w:tcW w:w="775"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keepNext w:val="0"/>
              <w:keepLines w:val="0"/>
              <w:pageBreakBefore w:val="0"/>
              <w:kinsoku/>
              <w:overflowPunct/>
              <w:topLinePunct w:val="0"/>
              <w:autoSpaceDE/>
              <w:autoSpaceDN/>
              <w:bidi w:val="0"/>
              <w:adjustRightInd/>
              <w:spacing w:beforeAutospacing="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D包</w:t>
            </w:r>
          </w:p>
        </w:tc>
        <w:tc>
          <w:tcPr>
            <w:tcW w:w="1475" w:type="dxa"/>
            <w:vMerge w:val="continue"/>
            <w:tcBorders>
              <w:left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516" w:firstLineChars="200"/>
              <w:jc w:val="center"/>
              <w:rPr>
                <w:rFonts w:hint="eastAsia" w:ascii="宋体" w:hAnsi="宋体" w:eastAsia="宋体" w:cs="宋体"/>
                <w:b w:val="0"/>
                <w:bCs w:val="0"/>
                <w:spacing w:val="9"/>
                <w:sz w:val="24"/>
                <w:szCs w:val="24"/>
                <w:lang w:val="en-US" w:eastAsia="zh-CN"/>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i w:val="0"/>
                <w:caps w:val="0"/>
                <w:color w:val="333333"/>
                <w:spacing w:val="0"/>
                <w:sz w:val="24"/>
                <w:szCs w:val="24"/>
                <w:shd w:val="clear" w:color="auto" w:fill="FFFFFF"/>
                <w:lang w:val="en-US" w:eastAsia="zh-CN"/>
              </w:rPr>
              <w:t>次氯酸钠</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both"/>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约</w:t>
            </w:r>
            <w:r>
              <w:rPr>
                <w:rFonts w:hint="eastAsia" w:ascii="宋体" w:hAnsi="宋体" w:eastAsia="宋体" w:cs="宋体"/>
                <w:color w:val="auto"/>
                <w:sz w:val="24"/>
                <w:szCs w:val="24"/>
                <w:lang w:val="en-US" w:eastAsia="zh-CN"/>
              </w:rPr>
              <w:t>1000吨</w:t>
            </w:r>
            <w:r>
              <w:rPr>
                <w:rFonts w:hint="eastAsia" w:ascii="宋体" w:hAnsi="宋体" w:eastAsia="宋体" w:cs="宋体"/>
                <w:color w:val="333333"/>
                <w:sz w:val="24"/>
                <w:szCs w:val="24"/>
                <w:shd w:val="clear" w:color="auto" w:fill="FFFFFF"/>
                <w:lang w:val="en-US" w:eastAsia="zh-CN"/>
              </w:rPr>
              <w:t>（以实际生产需要为准）</w:t>
            </w:r>
          </w:p>
        </w:tc>
        <w:tc>
          <w:tcPr>
            <w:tcW w:w="23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default"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1100</w:t>
            </w:r>
          </w:p>
        </w:tc>
      </w:tr>
      <w:tr>
        <w:tblPrEx>
          <w:tblCellMar>
            <w:top w:w="0" w:type="dxa"/>
            <w:left w:w="108" w:type="dxa"/>
            <w:bottom w:w="0" w:type="dxa"/>
            <w:right w:w="108" w:type="dxa"/>
          </w:tblCellMar>
        </w:tblPrEx>
        <w:trPr>
          <w:trHeight w:val="523" w:hRule="atLeast"/>
          <w:jc w:val="center"/>
        </w:trPr>
        <w:tc>
          <w:tcPr>
            <w:tcW w:w="88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5</w:t>
            </w:r>
          </w:p>
        </w:tc>
        <w:tc>
          <w:tcPr>
            <w:tcW w:w="775"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keepNext w:val="0"/>
              <w:keepLines w:val="0"/>
              <w:pageBreakBefore w:val="0"/>
              <w:kinsoku/>
              <w:overflowPunct/>
              <w:topLinePunct w:val="0"/>
              <w:autoSpaceDE/>
              <w:autoSpaceDN/>
              <w:bidi w:val="0"/>
              <w:adjustRightInd/>
              <w:spacing w:beforeAutospacing="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E包</w:t>
            </w:r>
          </w:p>
        </w:tc>
        <w:tc>
          <w:tcPr>
            <w:tcW w:w="1475" w:type="dxa"/>
            <w:vMerge w:val="continue"/>
            <w:tcBorders>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516" w:firstLineChars="200"/>
              <w:jc w:val="center"/>
              <w:rPr>
                <w:rFonts w:hint="eastAsia" w:ascii="宋体" w:hAnsi="宋体" w:eastAsia="宋体" w:cs="宋体"/>
                <w:b w:val="0"/>
                <w:bCs w:val="0"/>
                <w:spacing w:val="9"/>
                <w:sz w:val="24"/>
                <w:szCs w:val="24"/>
                <w:lang w:val="en-US" w:eastAsia="zh-CN"/>
              </w:rPr>
            </w:pPr>
          </w:p>
        </w:tc>
        <w:tc>
          <w:tcPr>
            <w:tcW w:w="15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center"/>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i w:val="0"/>
                <w:caps w:val="0"/>
                <w:color w:val="333333"/>
                <w:spacing w:val="0"/>
                <w:sz w:val="24"/>
                <w:szCs w:val="24"/>
                <w:shd w:val="clear" w:color="auto" w:fill="FFFFFF"/>
                <w:lang w:val="en-US" w:eastAsia="zh-CN"/>
              </w:rPr>
              <w:t>聚丙烯酰胺</w:t>
            </w:r>
          </w:p>
        </w:tc>
        <w:tc>
          <w:tcPr>
            <w:tcW w:w="21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jc w:val="both"/>
              <w:rPr>
                <w:rFonts w:hint="eastAsia"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约</w:t>
            </w:r>
            <w:r>
              <w:rPr>
                <w:rFonts w:hint="eastAsia" w:ascii="宋体" w:hAnsi="宋体" w:eastAsia="宋体" w:cs="宋体"/>
                <w:color w:val="auto"/>
                <w:sz w:val="24"/>
                <w:szCs w:val="24"/>
                <w:lang w:val="en-US" w:eastAsia="zh-CN"/>
              </w:rPr>
              <w:t>20吨</w:t>
            </w:r>
            <w:r>
              <w:rPr>
                <w:rFonts w:hint="eastAsia" w:ascii="宋体" w:hAnsi="宋体" w:eastAsia="宋体" w:cs="宋体"/>
                <w:color w:val="333333"/>
                <w:sz w:val="24"/>
                <w:szCs w:val="24"/>
                <w:shd w:val="clear" w:color="auto" w:fill="FFFFFF"/>
                <w:lang w:val="en-US" w:eastAsia="zh-CN"/>
              </w:rPr>
              <w:t>（以实际生产需要为准）</w:t>
            </w:r>
          </w:p>
        </w:tc>
        <w:tc>
          <w:tcPr>
            <w:tcW w:w="233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10"/>
              <w:keepNext w:val="0"/>
              <w:keepLines w:val="0"/>
              <w:pageBreakBefore w:val="0"/>
              <w:kinsoku/>
              <w:overflowPunct/>
              <w:topLinePunct w:val="0"/>
              <w:autoSpaceDE/>
              <w:autoSpaceDN/>
              <w:bidi w:val="0"/>
              <w:adjustRightInd/>
              <w:spacing w:before="0" w:beforeAutospacing="0" w:after="0" w:afterAutospacing="0" w:line="500" w:lineRule="exact"/>
              <w:ind w:left="0" w:leftChars="0" w:firstLine="480" w:firstLineChars="200"/>
              <w:jc w:val="center"/>
              <w:rPr>
                <w:rFonts w:hint="default" w:ascii="宋体" w:hAnsi="宋体" w:eastAsia="宋体" w:cs="宋体"/>
                <w:color w:val="333333"/>
                <w:sz w:val="24"/>
                <w:szCs w:val="24"/>
                <w:shd w:val="clear" w:color="auto" w:fill="FFFFFF"/>
                <w:lang w:val="en-US" w:eastAsia="zh-CN"/>
              </w:rPr>
            </w:pPr>
            <w:r>
              <w:rPr>
                <w:rFonts w:hint="eastAsia" w:ascii="宋体" w:hAnsi="宋体" w:eastAsia="宋体" w:cs="宋体"/>
                <w:color w:val="333333"/>
                <w:sz w:val="24"/>
                <w:szCs w:val="24"/>
                <w:shd w:val="clear" w:color="auto" w:fill="FFFFFF"/>
                <w:lang w:val="en-US" w:eastAsia="zh-CN"/>
              </w:rPr>
              <w:t>23000</w:t>
            </w:r>
          </w:p>
        </w:tc>
      </w:tr>
    </w:tbl>
    <w:p>
      <w:pPr>
        <w:pStyle w:val="5"/>
        <w:keepNext w:val="0"/>
        <w:keepLines w:val="0"/>
        <w:pageBreakBefore w:val="0"/>
        <w:kinsoku/>
        <w:overflowPunct/>
        <w:topLinePunct w:val="0"/>
        <w:autoSpaceDE/>
        <w:autoSpaceDN/>
        <w:bidi w:val="0"/>
        <w:adjustRightInd/>
        <w:spacing w:beforeAutospacing="0" w:after="0" w:afterAutospacing="0" w:line="500" w:lineRule="exact"/>
        <w:ind w:left="0" w:leftChars="0" w:firstLine="482"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开标前7日内，投标供应商应将样品及具有CMA检验检测机构资质认定标志近三个月的检测报告送至采购人确山县清源污水处理有限公司，样品化验不合格取消投标资格。（样品数量：如是液体1000ML；如是固体500克）</w:t>
      </w:r>
    </w:p>
    <w:p>
      <w:pPr>
        <w:pStyle w:val="5"/>
        <w:keepNext w:val="0"/>
        <w:keepLines w:val="0"/>
        <w:pageBreakBefore w:val="0"/>
        <w:kinsoku/>
        <w:overflowPunct/>
        <w:topLinePunct w:val="0"/>
        <w:autoSpaceDE/>
        <w:autoSpaceDN/>
        <w:bidi w:val="0"/>
        <w:adjustRightInd/>
        <w:spacing w:beforeAutospacing="0" w:after="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cs="宋体"/>
          <w:color w:val="auto"/>
          <w:sz w:val="24"/>
          <w:szCs w:val="24"/>
          <w:lang w:val="en-US" w:eastAsia="zh-CN"/>
        </w:rPr>
        <w:t>5.</w:t>
      </w:r>
      <w:r>
        <w:rPr>
          <w:rFonts w:hint="eastAsia" w:ascii="宋体" w:hAnsi="宋体" w:eastAsia="宋体" w:cs="宋体"/>
          <w:color w:val="auto"/>
          <w:sz w:val="24"/>
          <w:szCs w:val="24"/>
        </w:rPr>
        <w:t>采购需求：（包括但不限于标的的名称、数量、简要技术需求或服务要求等）详见附件或招标文件。</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6.合同履行期限：</w:t>
      </w:r>
      <w:r>
        <w:rPr>
          <w:rFonts w:hint="eastAsia" w:ascii="宋体" w:hAnsi="宋体" w:eastAsia="宋体" w:cs="宋体"/>
          <w:color w:val="auto"/>
          <w:sz w:val="24"/>
          <w:szCs w:val="24"/>
          <w:lang w:val="en-US" w:eastAsia="zh-CN"/>
        </w:rPr>
        <w:t>1年</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7.交货期：同合同履行期限。</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8.本项目是否接受联合体投标： 否。</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9.本项目是否接受进口产品： 否。</w:t>
      </w:r>
    </w:p>
    <w:p>
      <w:pPr>
        <w:pStyle w:val="14"/>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10.是否专门面向中小企业：否。</w:t>
      </w:r>
    </w:p>
    <w:p>
      <w:pPr>
        <w:keepNext w:val="0"/>
        <w:keepLines w:val="0"/>
        <w:pageBreakBefore w:val="0"/>
        <w:widowControl/>
        <w:tabs>
          <w:tab w:val="left" w:pos="7005"/>
        </w:tabs>
        <w:kinsoku/>
        <w:overflowPunct/>
        <w:topLinePunct w:val="0"/>
        <w:autoSpaceDE/>
        <w:autoSpaceDN/>
        <w:bidi w:val="0"/>
        <w:adjustRightInd/>
        <w:spacing w:beforeAutospacing="0" w:afterAutospacing="0" w:line="500" w:lineRule="exact"/>
        <w:ind w:left="0" w:leftChars="0" w:firstLine="482" w:firstLineChars="200"/>
        <w:outlineLvl w:val="1"/>
        <w:rPr>
          <w:rFonts w:hint="eastAsia" w:ascii="宋体" w:hAnsi="宋体" w:eastAsia="宋体" w:cs="宋体"/>
          <w:b/>
          <w:kern w:val="1"/>
          <w:sz w:val="24"/>
          <w:szCs w:val="24"/>
        </w:rPr>
      </w:pPr>
      <w:r>
        <w:rPr>
          <w:rFonts w:hint="eastAsia" w:ascii="宋体" w:hAnsi="宋体" w:eastAsia="宋体" w:cs="宋体"/>
          <w:b/>
          <w:kern w:val="1"/>
          <w:sz w:val="24"/>
          <w:szCs w:val="24"/>
        </w:rPr>
        <w:t>二、申请人资格要求：</w:t>
      </w:r>
    </w:p>
    <w:p>
      <w:pPr>
        <w:keepNext w:val="0"/>
        <w:keepLines w:val="0"/>
        <w:pageBreakBefore w:val="0"/>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1.投标人具备《中华人民共和国政府采购法》第二十二条规定的条件</w:t>
      </w:r>
    </w:p>
    <w:p>
      <w:pPr>
        <w:keepNext w:val="0"/>
        <w:keepLines w:val="0"/>
        <w:pageBreakBefore w:val="0"/>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2.投标人必须是依法成立的，注册于中华人民共和国境内，具有独立承担民事责任的能力。必须具备独立法人资格，具有有效法人营业执照、税务登记证、组织机构代码证或三证合一的营业执照</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代理商需提供生产厂家授权委托书及营业执照等</w:t>
      </w:r>
      <w:r>
        <w:rPr>
          <w:rFonts w:hint="eastAsia" w:ascii="宋体" w:hAnsi="宋体" w:eastAsia="宋体" w:cs="宋体"/>
          <w:sz w:val="24"/>
          <w:szCs w:val="24"/>
        </w:rPr>
        <w:t>。</w:t>
      </w:r>
    </w:p>
    <w:p>
      <w:pPr>
        <w:keepNext w:val="0"/>
        <w:keepLines w:val="0"/>
        <w:pageBreakBefore w:val="0"/>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3、本项目将通过“信用中国”网站（www.creditchina.gov.cn）、中国政府采购网(www.ccgp.gov.cn)查询供应商信用记录，被列入失信被执行人、重大税收违法案件当事人名单、政府采购严重违法失信行为记录名单的单位将被拒绝参与本项目(查询日期需在发布公告之后)；</w:t>
      </w:r>
    </w:p>
    <w:p>
      <w:pPr>
        <w:keepNext w:val="0"/>
        <w:keepLines w:val="0"/>
        <w:pageBreakBefore w:val="0"/>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kern w:val="1"/>
          <w:sz w:val="24"/>
          <w:szCs w:val="24"/>
        </w:rPr>
      </w:pPr>
      <w:r>
        <w:rPr>
          <w:rFonts w:hint="eastAsia" w:ascii="宋体" w:hAnsi="宋体" w:eastAsia="宋体" w:cs="宋体"/>
          <w:sz w:val="24"/>
          <w:szCs w:val="24"/>
        </w:rPr>
        <w:t>4、近三年财务状况良好：提供20</w:t>
      </w:r>
      <w:r>
        <w:rPr>
          <w:rFonts w:hint="eastAsia" w:ascii="宋体" w:hAnsi="宋体" w:eastAsia="宋体" w:cs="宋体"/>
          <w:sz w:val="24"/>
          <w:szCs w:val="24"/>
          <w:lang w:val="en-US" w:eastAsia="zh-CN"/>
        </w:rPr>
        <w:t>21</w:t>
      </w:r>
      <w:r>
        <w:rPr>
          <w:rFonts w:hint="eastAsia" w:ascii="宋体" w:hAnsi="宋体" w:eastAsia="宋体" w:cs="宋体"/>
          <w:sz w:val="24"/>
          <w:szCs w:val="24"/>
        </w:rPr>
        <w:t>、20</w:t>
      </w:r>
      <w:r>
        <w:rPr>
          <w:rFonts w:hint="eastAsia" w:ascii="宋体" w:hAnsi="宋体" w:eastAsia="宋体" w:cs="宋体"/>
          <w:sz w:val="24"/>
          <w:szCs w:val="24"/>
          <w:lang w:val="en-US" w:eastAsia="zh-CN"/>
        </w:rPr>
        <w:t>22</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年度由会计师事务所或审计机构审计的财务会计报表（新成立或成立不足三年的公司，提供自成立日期以来的）,具有良好的财务管理制度。</w:t>
      </w:r>
      <w:r>
        <w:rPr>
          <w:rFonts w:hint="eastAsia" w:ascii="宋体" w:hAnsi="宋体" w:eastAsia="宋体" w:cs="宋体"/>
          <w:kern w:val="1"/>
          <w:sz w:val="24"/>
          <w:szCs w:val="24"/>
        </w:rPr>
        <w:t xml:space="preserve"> </w:t>
      </w:r>
    </w:p>
    <w:p>
      <w:pPr>
        <w:keepNext w:val="0"/>
        <w:keepLines w:val="0"/>
        <w:pageBreakBefore w:val="0"/>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kern w:val="1"/>
          <w:sz w:val="24"/>
          <w:szCs w:val="24"/>
        </w:rPr>
      </w:pPr>
      <w:r>
        <w:rPr>
          <w:rFonts w:hint="eastAsia" w:ascii="宋体" w:hAnsi="宋体" w:eastAsia="宋体" w:cs="宋体"/>
          <w:kern w:val="1"/>
          <w:sz w:val="24"/>
          <w:szCs w:val="24"/>
        </w:rPr>
        <w:t>5、提供参加政府采购活动前三年内，在经营活动中没有重大违法记录承诺书，格式自拟。</w:t>
      </w:r>
    </w:p>
    <w:p>
      <w:pPr>
        <w:keepNext w:val="0"/>
        <w:keepLines w:val="0"/>
        <w:pageBreakBefore w:val="0"/>
        <w:widowControl/>
        <w:tabs>
          <w:tab w:val="left" w:pos="7005"/>
        </w:tabs>
        <w:kinsoku/>
        <w:overflowPunct/>
        <w:topLinePunct w:val="0"/>
        <w:autoSpaceDE/>
        <w:autoSpaceDN/>
        <w:bidi w:val="0"/>
        <w:adjustRightInd/>
        <w:spacing w:beforeAutospacing="0" w:afterAutospacing="0" w:line="500" w:lineRule="exact"/>
        <w:ind w:left="0" w:leftChars="0" w:firstLine="482" w:firstLineChars="200"/>
        <w:outlineLvl w:val="1"/>
        <w:rPr>
          <w:rFonts w:hint="eastAsia" w:ascii="宋体" w:hAnsi="宋体" w:eastAsia="宋体" w:cs="宋体"/>
          <w:b/>
          <w:kern w:val="1"/>
          <w:sz w:val="24"/>
          <w:szCs w:val="24"/>
        </w:rPr>
      </w:pPr>
      <w:r>
        <w:rPr>
          <w:rFonts w:hint="eastAsia" w:ascii="宋体" w:hAnsi="宋体" w:eastAsia="宋体" w:cs="宋体"/>
          <w:b/>
          <w:kern w:val="1"/>
          <w:sz w:val="24"/>
          <w:szCs w:val="24"/>
        </w:rPr>
        <w:t>三、获取采购文件</w:t>
      </w:r>
    </w:p>
    <w:p>
      <w:pPr>
        <w:keepNext w:val="0"/>
        <w:keepLines w:val="0"/>
        <w:pageBreakBefore w:val="0"/>
        <w:kinsoku/>
        <w:wordWrap w:val="0"/>
        <w:overflowPunct/>
        <w:topLinePunct w:val="0"/>
        <w:autoSpaceDE/>
        <w:autoSpaceDN/>
        <w:bidi w:val="0"/>
        <w:adjustRightInd/>
        <w:spacing w:beforeAutospacing="0" w:afterAutospacing="0" w:line="500" w:lineRule="exact"/>
        <w:ind w:left="0" w:leftChars="0" w:firstLine="480" w:firstLineChars="200"/>
        <w:jc w:val="left"/>
        <w:rPr>
          <w:rFonts w:hint="eastAsia" w:ascii="宋体" w:hAnsi="宋体" w:eastAsia="宋体" w:cs="宋体"/>
          <w:color w:val="auto"/>
          <w:kern w:val="0"/>
          <w:sz w:val="24"/>
          <w:szCs w:val="24"/>
          <w:highlight w:val="none"/>
          <w:u w:val="none"/>
        </w:rPr>
      </w:pPr>
      <w:r>
        <w:rPr>
          <w:rFonts w:hint="eastAsia" w:ascii="宋体" w:hAnsi="宋体" w:eastAsia="宋体" w:cs="宋体"/>
          <w:color w:val="auto"/>
          <w:kern w:val="0"/>
          <w:sz w:val="24"/>
          <w:szCs w:val="24"/>
          <w:highlight w:val="none"/>
        </w:rPr>
        <w:t>4.1、报名时间：</w:t>
      </w:r>
      <w:r>
        <w:rPr>
          <w:rFonts w:hint="eastAsia" w:ascii="宋体" w:hAnsi="宋体" w:eastAsia="宋体" w:cs="宋体"/>
          <w:color w:val="auto"/>
          <w:kern w:val="0"/>
          <w:sz w:val="24"/>
          <w:szCs w:val="24"/>
          <w:highlight w:val="none"/>
          <w:u w:val="none"/>
        </w:rPr>
        <w:t>202</w:t>
      </w: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年</w:t>
      </w: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月</w:t>
      </w:r>
      <w:r>
        <w:rPr>
          <w:rFonts w:hint="eastAsia" w:ascii="宋体" w:hAnsi="宋体" w:eastAsia="宋体" w:cs="宋体"/>
          <w:color w:val="auto"/>
          <w:kern w:val="0"/>
          <w:sz w:val="24"/>
          <w:szCs w:val="24"/>
          <w:highlight w:val="none"/>
          <w:u w:val="none"/>
          <w:lang w:val="en-US" w:eastAsia="zh-CN"/>
        </w:rPr>
        <w:t>22</w:t>
      </w:r>
      <w:r>
        <w:rPr>
          <w:rFonts w:hint="eastAsia" w:ascii="宋体" w:hAnsi="宋体" w:eastAsia="宋体" w:cs="宋体"/>
          <w:color w:val="auto"/>
          <w:kern w:val="0"/>
          <w:sz w:val="24"/>
          <w:szCs w:val="24"/>
          <w:highlight w:val="none"/>
          <w:u w:val="none"/>
        </w:rPr>
        <w:t>日至202</w:t>
      </w:r>
      <w:r>
        <w:rPr>
          <w:rFonts w:hint="eastAsia" w:ascii="宋体" w:hAnsi="宋体" w:eastAsia="宋体" w:cs="宋体"/>
          <w:color w:val="auto"/>
          <w:kern w:val="0"/>
          <w:sz w:val="24"/>
          <w:szCs w:val="24"/>
          <w:highlight w:val="none"/>
          <w:u w:val="none"/>
          <w:lang w:val="en-US" w:eastAsia="zh-CN"/>
        </w:rPr>
        <w:t>4</w:t>
      </w:r>
      <w:r>
        <w:rPr>
          <w:rFonts w:hint="eastAsia" w:ascii="宋体" w:hAnsi="宋体" w:eastAsia="宋体" w:cs="宋体"/>
          <w:color w:val="auto"/>
          <w:kern w:val="0"/>
          <w:sz w:val="24"/>
          <w:szCs w:val="24"/>
          <w:highlight w:val="none"/>
          <w:u w:val="none"/>
        </w:rPr>
        <w:t>年</w:t>
      </w:r>
      <w:r>
        <w:rPr>
          <w:rFonts w:hint="eastAsia" w:ascii="宋体" w:hAnsi="宋体" w:eastAsia="宋体" w:cs="宋体"/>
          <w:color w:val="auto"/>
          <w:kern w:val="0"/>
          <w:sz w:val="24"/>
          <w:szCs w:val="24"/>
          <w:highlight w:val="none"/>
          <w:u w:val="none"/>
          <w:lang w:val="en-US" w:eastAsia="zh-CN"/>
        </w:rPr>
        <w:t>5</w:t>
      </w:r>
      <w:r>
        <w:rPr>
          <w:rFonts w:hint="eastAsia" w:ascii="宋体" w:hAnsi="宋体" w:eastAsia="宋体" w:cs="宋体"/>
          <w:color w:val="auto"/>
          <w:kern w:val="0"/>
          <w:sz w:val="24"/>
          <w:szCs w:val="24"/>
          <w:highlight w:val="none"/>
          <w:u w:val="none"/>
        </w:rPr>
        <w:t>月</w:t>
      </w:r>
      <w:r>
        <w:rPr>
          <w:rFonts w:hint="eastAsia" w:ascii="宋体" w:hAnsi="宋体" w:eastAsia="宋体" w:cs="宋体"/>
          <w:color w:val="auto"/>
          <w:kern w:val="0"/>
          <w:sz w:val="24"/>
          <w:szCs w:val="24"/>
          <w:highlight w:val="none"/>
          <w:u w:val="none"/>
          <w:lang w:val="en-US" w:eastAsia="zh-CN"/>
        </w:rPr>
        <w:t>28</w:t>
      </w:r>
      <w:r>
        <w:rPr>
          <w:rFonts w:hint="eastAsia" w:ascii="宋体" w:hAnsi="宋体" w:eastAsia="宋体" w:cs="宋体"/>
          <w:color w:val="auto"/>
          <w:kern w:val="0"/>
          <w:sz w:val="24"/>
          <w:szCs w:val="24"/>
          <w:highlight w:val="none"/>
          <w:u w:val="none"/>
        </w:rPr>
        <w:t>日。</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4.2、招标文件获取方式：由企业法人或其委托代理人电话联系报名，通过电子邮箱等方式获取电子版招标文件。</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rPr>
      </w:pPr>
      <w:r>
        <w:rPr>
          <w:rFonts w:hint="eastAsia" w:ascii="宋体" w:hAnsi="宋体" w:eastAsia="宋体" w:cs="宋体"/>
          <w:color w:val="auto"/>
          <w:kern w:val="1"/>
          <w:sz w:val="24"/>
          <w:szCs w:val="24"/>
          <w:highlight w:val="none"/>
        </w:rPr>
        <w:t>4.售价：0元</w:t>
      </w:r>
    </w:p>
    <w:p>
      <w:pPr>
        <w:keepNext w:val="0"/>
        <w:keepLines w:val="0"/>
        <w:pageBreakBefore w:val="0"/>
        <w:widowControl/>
        <w:kinsoku/>
        <w:overflowPunct/>
        <w:topLinePunct w:val="0"/>
        <w:autoSpaceDE/>
        <w:autoSpaceDN/>
        <w:bidi w:val="0"/>
        <w:adjustRightInd/>
        <w:spacing w:beforeAutospacing="0" w:afterAutospacing="0" w:line="500" w:lineRule="exact"/>
        <w:ind w:left="0" w:leftChars="0" w:firstLine="482" w:firstLineChars="200"/>
        <w:jc w:val="left"/>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四、响应文件提交</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rPr>
      </w:pPr>
      <w:r>
        <w:rPr>
          <w:rFonts w:hint="eastAsia" w:ascii="宋体" w:hAnsi="宋体" w:eastAsia="宋体" w:cs="宋体"/>
          <w:color w:val="auto"/>
          <w:kern w:val="1"/>
          <w:sz w:val="24"/>
          <w:szCs w:val="24"/>
          <w:highlight w:val="none"/>
        </w:rPr>
        <w:t>1.截止时间</w:t>
      </w:r>
      <w:r>
        <w:rPr>
          <w:rFonts w:hint="eastAsia" w:ascii="宋体" w:hAnsi="宋体" w:eastAsia="宋体" w:cs="宋体"/>
          <w:color w:val="auto"/>
          <w:kern w:val="1"/>
          <w:sz w:val="24"/>
          <w:szCs w:val="24"/>
          <w:highlight w:val="none"/>
          <w:u w:val="none"/>
        </w:rPr>
        <w:t>：</w:t>
      </w:r>
      <w:r>
        <w:rPr>
          <w:rFonts w:hint="eastAsia" w:ascii="宋体" w:hAnsi="宋体" w:eastAsia="宋体" w:cs="宋体"/>
          <w:color w:val="auto"/>
          <w:kern w:val="1"/>
          <w:sz w:val="24"/>
          <w:szCs w:val="24"/>
          <w:highlight w:val="none"/>
          <w:u w:val="none"/>
          <w:lang w:val="en-US" w:eastAsia="zh-CN"/>
        </w:rPr>
        <w:t>2024</w:t>
      </w:r>
      <w:r>
        <w:rPr>
          <w:rFonts w:hint="eastAsia" w:ascii="宋体" w:hAnsi="宋体" w:eastAsia="宋体" w:cs="宋体"/>
          <w:color w:val="auto"/>
          <w:kern w:val="1"/>
          <w:sz w:val="24"/>
          <w:szCs w:val="24"/>
          <w:highlight w:val="none"/>
          <w:u w:val="none"/>
        </w:rPr>
        <w:t>年</w:t>
      </w:r>
      <w:r>
        <w:rPr>
          <w:rFonts w:hint="eastAsia" w:ascii="宋体" w:hAnsi="宋体" w:eastAsia="宋体" w:cs="宋体"/>
          <w:color w:val="auto"/>
          <w:kern w:val="1"/>
          <w:sz w:val="24"/>
          <w:szCs w:val="24"/>
          <w:highlight w:val="none"/>
          <w:u w:val="none"/>
          <w:lang w:val="en-US" w:eastAsia="zh-CN"/>
        </w:rPr>
        <w:t>6</w:t>
      </w:r>
      <w:r>
        <w:rPr>
          <w:rFonts w:hint="eastAsia" w:ascii="宋体" w:hAnsi="宋体" w:eastAsia="宋体" w:cs="宋体"/>
          <w:color w:val="auto"/>
          <w:kern w:val="1"/>
          <w:sz w:val="24"/>
          <w:szCs w:val="24"/>
          <w:highlight w:val="none"/>
          <w:u w:val="none"/>
        </w:rPr>
        <w:t>月</w:t>
      </w:r>
      <w:r>
        <w:rPr>
          <w:rFonts w:hint="eastAsia" w:ascii="宋体" w:hAnsi="宋体" w:eastAsia="宋体" w:cs="宋体"/>
          <w:color w:val="auto"/>
          <w:kern w:val="1"/>
          <w:sz w:val="24"/>
          <w:szCs w:val="24"/>
          <w:highlight w:val="none"/>
          <w:u w:val="none"/>
          <w:lang w:val="en-US" w:eastAsia="zh-CN"/>
        </w:rPr>
        <w:t>12</w:t>
      </w:r>
      <w:r>
        <w:rPr>
          <w:rFonts w:hint="eastAsia" w:ascii="宋体" w:hAnsi="宋体" w:eastAsia="宋体" w:cs="宋体"/>
          <w:color w:val="auto"/>
          <w:kern w:val="1"/>
          <w:sz w:val="24"/>
          <w:szCs w:val="24"/>
          <w:highlight w:val="none"/>
          <w:u w:val="none"/>
        </w:rPr>
        <w:t>日</w:t>
      </w:r>
      <w:r>
        <w:rPr>
          <w:rFonts w:hint="eastAsia" w:ascii="宋体" w:hAnsi="宋体" w:eastAsia="宋体" w:cs="宋体"/>
          <w:color w:val="auto"/>
          <w:kern w:val="1"/>
          <w:sz w:val="24"/>
          <w:szCs w:val="24"/>
          <w:highlight w:val="none"/>
          <w:u w:val="none"/>
          <w:lang w:val="en-US" w:eastAsia="zh-CN"/>
        </w:rPr>
        <w:t>9</w:t>
      </w:r>
      <w:r>
        <w:rPr>
          <w:rFonts w:hint="eastAsia" w:ascii="宋体" w:hAnsi="宋体" w:eastAsia="宋体" w:cs="宋体"/>
          <w:color w:val="auto"/>
          <w:kern w:val="1"/>
          <w:sz w:val="24"/>
          <w:szCs w:val="24"/>
          <w:highlight w:val="none"/>
          <w:u w:val="none"/>
        </w:rPr>
        <w:t>时</w:t>
      </w:r>
      <w:r>
        <w:rPr>
          <w:rFonts w:hint="eastAsia" w:ascii="宋体" w:hAnsi="宋体" w:eastAsia="宋体" w:cs="宋体"/>
          <w:color w:val="auto"/>
          <w:kern w:val="1"/>
          <w:sz w:val="24"/>
          <w:szCs w:val="24"/>
          <w:highlight w:val="none"/>
          <w:u w:val="none"/>
          <w:lang w:val="en-US" w:eastAsia="zh-CN"/>
        </w:rPr>
        <w:t>0</w:t>
      </w:r>
      <w:r>
        <w:rPr>
          <w:rFonts w:hint="eastAsia" w:ascii="宋体" w:hAnsi="宋体" w:eastAsia="宋体" w:cs="宋体"/>
          <w:color w:val="auto"/>
          <w:kern w:val="1"/>
          <w:sz w:val="24"/>
          <w:szCs w:val="24"/>
          <w:highlight w:val="none"/>
          <w:u w:val="none"/>
        </w:rPr>
        <w:t>0分</w:t>
      </w:r>
      <w:r>
        <w:rPr>
          <w:rFonts w:hint="eastAsia" w:ascii="宋体" w:hAnsi="宋体" w:eastAsia="宋体" w:cs="宋体"/>
          <w:color w:val="auto"/>
          <w:kern w:val="1"/>
          <w:sz w:val="24"/>
          <w:szCs w:val="24"/>
          <w:highlight w:val="none"/>
        </w:rPr>
        <w:t>（北京时间）</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lang w:val="en-US" w:eastAsia="zh-CN"/>
        </w:rPr>
      </w:pPr>
      <w:r>
        <w:rPr>
          <w:rFonts w:hint="eastAsia" w:ascii="宋体" w:hAnsi="宋体" w:eastAsia="宋体" w:cs="宋体"/>
          <w:color w:val="auto"/>
          <w:kern w:val="1"/>
          <w:sz w:val="24"/>
          <w:szCs w:val="24"/>
          <w:highlight w:val="none"/>
        </w:rPr>
        <w:t>2.地点：</w:t>
      </w:r>
      <w:r>
        <w:rPr>
          <w:rFonts w:hint="eastAsia" w:ascii="宋体" w:hAnsi="宋体" w:eastAsia="宋体" w:cs="宋体"/>
          <w:color w:val="auto"/>
          <w:kern w:val="1"/>
          <w:sz w:val="24"/>
          <w:szCs w:val="24"/>
          <w:highlight w:val="none"/>
          <w:lang w:val="en-US" w:eastAsia="zh-CN"/>
        </w:rPr>
        <w:t>确山县水务有限公司四楼会议室</w:t>
      </w:r>
    </w:p>
    <w:p>
      <w:pPr>
        <w:keepNext w:val="0"/>
        <w:keepLines w:val="0"/>
        <w:pageBreakBefore w:val="0"/>
        <w:widowControl/>
        <w:kinsoku/>
        <w:overflowPunct/>
        <w:topLinePunct w:val="0"/>
        <w:autoSpaceDE/>
        <w:autoSpaceDN/>
        <w:bidi w:val="0"/>
        <w:adjustRightInd/>
        <w:spacing w:beforeAutospacing="0" w:afterAutospacing="0" w:line="500" w:lineRule="exact"/>
        <w:ind w:left="0" w:leftChars="0" w:firstLine="482" w:firstLineChars="200"/>
        <w:jc w:val="left"/>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五、响应文件开启</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rPr>
      </w:pPr>
      <w:r>
        <w:rPr>
          <w:rFonts w:hint="eastAsia" w:ascii="宋体" w:hAnsi="宋体" w:eastAsia="宋体" w:cs="宋体"/>
          <w:color w:val="auto"/>
          <w:kern w:val="1"/>
          <w:sz w:val="24"/>
          <w:szCs w:val="24"/>
          <w:highlight w:val="none"/>
        </w:rPr>
        <w:t>1.时间：</w:t>
      </w:r>
      <w:r>
        <w:rPr>
          <w:rFonts w:hint="eastAsia" w:ascii="宋体" w:hAnsi="宋体" w:eastAsia="宋体" w:cs="宋体"/>
          <w:color w:val="auto"/>
          <w:kern w:val="1"/>
          <w:sz w:val="24"/>
          <w:szCs w:val="24"/>
          <w:highlight w:val="none"/>
          <w:u w:val="none"/>
          <w:lang w:val="en-US" w:eastAsia="zh-CN"/>
        </w:rPr>
        <w:t>2024</w:t>
      </w:r>
      <w:r>
        <w:rPr>
          <w:rFonts w:hint="eastAsia" w:ascii="宋体" w:hAnsi="宋体" w:eastAsia="宋体" w:cs="宋体"/>
          <w:color w:val="auto"/>
          <w:kern w:val="1"/>
          <w:sz w:val="24"/>
          <w:szCs w:val="24"/>
          <w:highlight w:val="none"/>
          <w:u w:val="none"/>
        </w:rPr>
        <w:t>年</w:t>
      </w:r>
      <w:r>
        <w:rPr>
          <w:rFonts w:hint="eastAsia" w:ascii="宋体" w:hAnsi="宋体" w:eastAsia="宋体" w:cs="宋体"/>
          <w:color w:val="auto"/>
          <w:kern w:val="1"/>
          <w:sz w:val="24"/>
          <w:szCs w:val="24"/>
          <w:highlight w:val="none"/>
          <w:u w:val="none"/>
          <w:lang w:val="en-US" w:eastAsia="zh-CN"/>
        </w:rPr>
        <w:t>6</w:t>
      </w:r>
      <w:r>
        <w:rPr>
          <w:rFonts w:hint="eastAsia" w:ascii="宋体" w:hAnsi="宋体" w:eastAsia="宋体" w:cs="宋体"/>
          <w:color w:val="auto"/>
          <w:kern w:val="1"/>
          <w:sz w:val="24"/>
          <w:szCs w:val="24"/>
          <w:highlight w:val="none"/>
          <w:u w:val="none"/>
        </w:rPr>
        <w:t>月</w:t>
      </w:r>
      <w:r>
        <w:rPr>
          <w:rFonts w:hint="eastAsia" w:ascii="宋体" w:hAnsi="宋体" w:eastAsia="宋体" w:cs="宋体"/>
          <w:color w:val="auto"/>
          <w:kern w:val="1"/>
          <w:sz w:val="24"/>
          <w:szCs w:val="24"/>
          <w:highlight w:val="none"/>
          <w:u w:val="none"/>
          <w:lang w:val="en-US" w:eastAsia="zh-CN"/>
        </w:rPr>
        <w:t>12</w:t>
      </w:r>
      <w:r>
        <w:rPr>
          <w:rFonts w:hint="eastAsia" w:ascii="宋体" w:hAnsi="宋体" w:eastAsia="宋体" w:cs="宋体"/>
          <w:color w:val="auto"/>
          <w:kern w:val="1"/>
          <w:sz w:val="24"/>
          <w:szCs w:val="24"/>
          <w:highlight w:val="none"/>
          <w:u w:val="none"/>
        </w:rPr>
        <w:t>日</w:t>
      </w:r>
      <w:r>
        <w:rPr>
          <w:rFonts w:hint="eastAsia" w:ascii="宋体" w:hAnsi="宋体" w:eastAsia="宋体" w:cs="宋体"/>
          <w:color w:val="auto"/>
          <w:kern w:val="1"/>
          <w:sz w:val="24"/>
          <w:szCs w:val="24"/>
          <w:highlight w:val="none"/>
          <w:u w:val="none"/>
          <w:lang w:val="en-US" w:eastAsia="zh-CN"/>
        </w:rPr>
        <w:t>9</w:t>
      </w:r>
      <w:r>
        <w:rPr>
          <w:rFonts w:hint="eastAsia" w:ascii="宋体" w:hAnsi="宋体" w:eastAsia="宋体" w:cs="宋体"/>
          <w:color w:val="auto"/>
          <w:kern w:val="1"/>
          <w:sz w:val="24"/>
          <w:szCs w:val="24"/>
          <w:highlight w:val="none"/>
          <w:u w:val="none"/>
        </w:rPr>
        <w:t>时</w:t>
      </w:r>
      <w:r>
        <w:rPr>
          <w:rFonts w:hint="eastAsia" w:ascii="宋体" w:hAnsi="宋体" w:eastAsia="宋体" w:cs="宋体"/>
          <w:color w:val="auto"/>
          <w:kern w:val="1"/>
          <w:sz w:val="24"/>
          <w:szCs w:val="24"/>
          <w:highlight w:val="none"/>
          <w:u w:val="none"/>
          <w:lang w:val="en-US" w:eastAsia="zh-CN"/>
        </w:rPr>
        <w:t>0</w:t>
      </w:r>
      <w:r>
        <w:rPr>
          <w:rFonts w:hint="eastAsia" w:ascii="宋体" w:hAnsi="宋体" w:eastAsia="宋体" w:cs="宋体"/>
          <w:color w:val="auto"/>
          <w:kern w:val="1"/>
          <w:sz w:val="24"/>
          <w:szCs w:val="24"/>
          <w:highlight w:val="none"/>
          <w:u w:val="none"/>
        </w:rPr>
        <w:t>0分</w:t>
      </w:r>
      <w:r>
        <w:rPr>
          <w:rFonts w:hint="eastAsia" w:ascii="宋体" w:hAnsi="宋体" w:eastAsia="宋体" w:cs="宋体"/>
          <w:color w:val="auto"/>
          <w:kern w:val="1"/>
          <w:sz w:val="24"/>
          <w:szCs w:val="24"/>
          <w:highlight w:val="none"/>
        </w:rPr>
        <w:t>（北京时间）</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rPr>
      </w:pPr>
      <w:r>
        <w:rPr>
          <w:rFonts w:hint="eastAsia" w:ascii="宋体" w:hAnsi="宋体" w:eastAsia="宋体" w:cs="宋体"/>
          <w:color w:val="auto"/>
          <w:kern w:val="1"/>
          <w:sz w:val="24"/>
          <w:szCs w:val="24"/>
          <w:highlight w:val="none"/>
        </w:rPr>
        <w:t>2.地点：</w:t>
      </w:r>
      <w:r>
        <w:rPr>
          <w:rFonts w:hint="eastAsia" w:ascii="宋体" w:hAnsi="宋体" w:eastAsia="宋体" w:cs="宋体"/>
          <w:color w:val="auto"/>
          <w:kern w:val="1"/>
          <w:sz w:val="24"/>
          <w:szCs w:val="24"/>
          <w:highlight w:val="none"/>
          <w:lang w:val="en-US" w:eastAsia="zh-CN"/>
        </w:rPr>
        <w:t>确山县水务有限公司四楼会议室</w:t>
      </w:r>
    </w:p>
    <w:p>
      <w:pPr>
        <w:keepNext w:val="0"/>
        <w:keepLines w:val="0"/>
        <w:pageBreakBefore w:val="0"/>
        <w:widowControl/>
        <w:kinsoku/>
        <w:overflowPunct/>
        <w:topLinePunct w:val="0"/>
        <w:autoSpaceDE/>
        <w:autoSpaceDN/>
        <w:bidi w:val="0"/>
        <w:adjustRightInd/>
        <w:spacing w:beforeAutospacing="0" w:afterAutospacing="0" w:line="500" w:lineRule="exact"/>
        <w:ind w:left="0" w:leftChars="0" w:firstLine="482" w:firstLineChars="200"/>
        <w:jc w:val="left"/>
        <w:outlineLvl w:val="1"/>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六、发布公告的媒介及招标公告期限 </w:t>
      </w:r>
    </w:p>
    <w:p>
      <w:pPr>
        <w:keepNext w:val="0"/>
        <w:keepLines w:val="0"/>
        <w:pageBreakBefore w:val="0"/>
        <w:widowControl/>
        <w:shd w:val="clear" w:color="000000" w:fill="FFFFFF"/>
        <w:kinsoku/>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color w:val="auto"/>
          <w:kern w:val="1"/>
          <w:sz w:val="24"/>
          <w:szCs w:val="24"/>
          <w:highlight w:val="none"/>
        </w:rPr>
      </w:pPr>
      <w:r>
        <w:rPr>
          <w:rFonts w:hint="eastAsia" w:ascii="宋体" w:hAnsi="宋体" w:eastAsia="宋体" w:cs="宋体"/>
          <w:color w:val="auto"/>
          <w:kern w:val="1"/>
          <w:sz w:val="24"/>
          <w:szCs w:val="24"/>
          <w:highlight w:val="none"/>
        </w:rPr>
        <w:t>本次招标公告在</w:t>
      </w:r>
      <w:r>
        <w:rPr>
          <w:rFonts w:hint="eastAsia" w:ascii="宋体" w:hAnsi="宋体" w:eastAsia="宋体" w:cs="宋体"/>
          <w:color w:val="auto"/>
          <w:kern w:val="1"/>
          <w:sz w:val="24"/>
          <w:szCs w:val="24"/>
          <w:highlight w:val="none"/>
          <w:lang w:val="en-US" w:eastAsia="zh-CN"/>
        </w:rPr>
        <w:t xml:space="preserve">  </w:t>
      </w:r>
      <w:r>
        <w:rPr>
          <w:rFonts w:hint="eastAsia" w:ascii="宋体" w:hAnsi="宋体" w:eastAsia="宋体" w:cs="宋体"/>
          <w:color w:val="auto"/>
          <w:kern w:val="1"/>
          <w:sz w:val="24"/>
          <w:szCs w:val="24"/>
          <w:highlight w:val="none"/>
          <w:u w:val="single"/>
          <w:lang w:val="en-US" w:eastAsia="zh-CN"/>
        </w:rPr>
        <w:t>河南省招标投标公共服务平台及确山县水务有限公司官网</w:t>
      </w:r>
      <w:r>
        <w:rPr>
          <w:rFonts w:hint="eastAsia" w:ascii="宋体" w:hAnsi="宋体" w:eastAsia="宋体" w:cs="宋体"/>
          <w:color w:val="auto"/>
          <w:kern w:val="1"/>
          <w:sz w:val="24"/>
          <w:szCs w:val="24"/>
          <w:highlight w:val="none"/>
        </w:rPr>
        <w:t>上发布。招标公告期限为</w:t>
      </w:r>
      <w:r>
        <w:rPr>
          <w:rFonts w:hint="eastAsia" w:ascii="宋体" w:hAnsi="宋体" w:eastAsia="宋体" w:cs="宋体"/>
          <w:color w:val="auto"/>
          <w:kern w:val="1"/>
          <w:sz w:val="24"/>
          <w:szCs w:val="24"/>
          <w:highlight w:val="none"/>
          <w:lang w:val="en-US" w:eastAsia="zh-CN"/>
        </w:rPr>
        <w:t>五</w:t>
      </w:r>
      <w:r>
        <w:rPr>
          <w:rFonts w:hint="eastAsia" w:ascii="宋体" w:hAnsi="宋体" w:eastAsia="宋体" w:cs="宋体"/>
          <w:color w:val="auto"/>
          <w:kern w:val="1"/>
          <w:sz w:val="24"/>
          <w:szCs w:val="24"/>
          <w:highlight w:val="none"/>
        </w:rPr>
        <w:t>个工作日。</w:t>
      </w:r>
    </w:p>
    <w:p>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2" w:firstLineChars="200"/>
        <w:textAlignment w:val="baseline"/>
        <w:rPr>
          <w:rFonts w:hint="eastAsia" w:ascii="宋体" w:hAnsi="宋体" w:eastAsia="宋体" w:cs="宋体"/>
          <w:b/>
          <w:sz w:val="24"/>
          <w:szCs w:val="24"/>
          <w:highlight w:val="none"/>
        </w:rPr>
      </w:pPr>
      <w:r>
        <w:rPr>
          <w:rFonts w:hint="eastAsia" w:ascii="宋体" w:hAnsi="宋体" w:eastAsia="宋体" w:cs="宋体"/>
          <w:b/>
          <w:sz w:val="24"/>
          <w:szCs w:val="24"/>
          <w:highlight w:val="none"/>
        </w:rPr>
        <w:t>七、项目咨询电话：</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采购人：</w:t>
      </w:r>
      <w:r>
        <w:rPr>
          <w:rFonts w:hint="eastAsia" w:ascii="宋体" w:hAnsi="宋体" w:eastAsia="宋体" w:cs="宋体"/>
          <w:b w:val="0"/>
          <w:bCs w:val="0"/>
          <w:spacing w:val="9"/>
          <w:sz w:val="24"/>
          <w:szCs w:val="24"/>
          <w:highlight w:val="none"/>
          <w:lang w:val="en-US" w:eastAsia="zh-CN"/>
        </w:rPr>
        <w:t>确山县清源污水处理有限公司</w:t>
      </w:r>
      <w:r>
        <w:rPr>
          <w:rFonts w:hint="eastAsia" w:ascii="宋体" w:hAnsi="宋体" w:eastAsia="宋体" w:cs="宋体"/>
          <w:sz w:val="24"/>
          <w:szCs w:val="24"/>
          <w:highlight w:val="none"/>
        </w:rPr>
        <w:t xml:space="preserve"> </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地址：  确山县金城大道中段</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联系人：王东升</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r>
        <w:rPr>
          <w:rFonts w:hint="eastAsia" w:ascii="宋体" w:hAnsi="宋体" w:eastAsia="宋体" w:cs="宋体"/>
          <w:sz w:val="24"/>
          <w:szCs w:val="24"/>
          <w:highlight w:val="none"/>
          <w:lang w:val="en-US" w:eastAsia="zh-CN"/>
        </w:rPr>
        <w:t>13839697281</w:t>
      </w:r>
      <w:r>
        <w:rPr>
          <w:rFonts w:hint="eastAsia" w:ascii="宋体" w:hAnsi="宋体" w:eastAsia="宋体" w:cs="宋体"/>
          <w:sz w:val="24"/>
          <w:szCs w:val="24"/>
          <w:highlight w:val="none"/>
        </w:rPr>
        <w:t xml:space="preserve">    </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监督单位：确山县水务有限公司监审室</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地址：  确山县中原大道与董北路交叉口西100米</w:t>
      </w:r>
    </w:p>
    <w:p>
      <w:pPr>
        <w:pStyle w:val="5"/>
        <w:keepNext w:val="0"/>
        <w:keepLines w:val="0"/>
        <w:pageBreakBefore w:val="0"/>
        <w:widowControl w:val="0"/>
        <w:kinsoku/>
        <w:wordWrap/>
        <w:overflowPunct/>
        <w:topLinePunct w:val="0"/>
        <w:autoSpaceDE/>
        <w:autoSpaceDN/>
        <w:bidi w:val="0"/>
        <w:adjustRightInd/>
        <w:snapToGrid/>
        <w:spacing w:beforeAutospacing="0" w:after="0" w:afterAutospacing="0" w:line="50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联系人：赵卫东</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电  话:13598916123</w:t>
      </w:r>
      <w:r>
        <w:rPr>
          <w:rFonts w:hint="eastAsia" w:ascii="宋体" w:hAnsi="宋体" w:eastAsia="宋体" w:cs="宋体"/>
          <w:sz w:val="24"/>
          <w:szCs w:val="24"/>
          <w:highlight w:val="none"/>
        </w:rPr>
        <w:t xml:space="preserve">    </w:t>
      </w:r>
    </w:p>
    <w:p>
      <w:pPr>
        <w:keepNext w:val="0"/>
        <w:keepLines w:val="0"/>
        <w:pageBreakBefore w:val="0"/>
        <w:kinsoku/>
        <w:wordWrap/>
        <w:overflowPunct/>
        <w:topLinePunct w:val="0"/>
        <w:autoSpaceDE/>
        <w:autoSpaceDN/>
        <w:bidi w:val="0"/>
        <w:adjustRightInd/>
        <w:spacing w:beforeAutospacing="0" w:afterAutospacing="0" w:line="500" w:lineRule="exact"/>
        <w:ind w:left="0" w:leftChars="0" w:firstLine="480" w:firstLineChars="200"/>
        <w:rPr>
          <w:rFonts w:hint="eastAsia" w:ascii="黑体" w:hAnsi="宋体" w:eastAsia="黑体" w:cs="宋体"/>
          <w:b/>
          <w:kern w:val="0"/>
          <w:sz w:val="32"/>
          <w:szCs w:val="32"/>
          <w:highlight w:val="none"/>
        </w:rPr>
      </w:pPr>
      <w:r>
        <w:rPr>
          <w:rFonts w:hint="eastAsia" w:ascii="宋体" w:hAnsi="宋体" w:cs="宋体"/>
          <w:sz w:val="24"/>
          <w:highlight w:val="none"/>
        </w:rPr>
        <w:t xml:space="preserve">      </w:t>
      </w:r>
    </w:p>
    <w:p>
      <w:pPr>
        <w:pStyle w:val="11"/>
        <w:keepNext w:val="0"/>
        <w:keepLines w:val="0"/>
        <w:pageBreakBefore w:val="0"/>
        <w:kinsoku/>
        <w:overflowPunct/>
        <w:topLinePunct w:val="0"/>
        <w:autoSpaceDE/>
        <w:autoSpaceDN/>
        <w:bidi w:val="0"/>
        <w:adjustRightInd/>
        <w:spacing w:before="0" w:beforeAutospacing="0" w:after="0" w:afterAutospacing="0" w:line="500" w:lineRule="exact"/>
        <w:ind w:left="0" w:leftChars="0" w:firstLine="643" w:firstLineChars="200"/>
        <w:rPr>
          <w:rFonts w:hint="eastAsia" w:ascii="黑体" w:hAnsi="宋体" w:eastAsia="黑体" w:cs="宋体"/>
          <w:b/>
          <w:kern w:val="0"/>
          <w:sz w:val="32"/>
          <w:szCs w:val="32"/>
          <w:highlight w:val="none"/>
        </w:rPr>
      </w:pPr>
    </w:p>
    <w:p>
      <w:pPr>
        <w:pStyle w:val="16"/>
        <w:keepNext w:val="0"/>
        <w:keepLines w:val="0"/>
        <w:pageBreakBefore w:val="0"/>
        <w:kinsoku/>
        <w:overflowPunct/>
        <w:topLinePunct w:val="0"/>
        <w:autoSpaceDE/>
        <w:autoSpaceDN/>
        <w:bidi w:val="0"/>
        <w:adjustRightInd/>
        <w:spacing w:beforeAutospacing="0" w:after="0" w:afterAutospacing="0" w:line="500" w:lineRule="exact"/>
        <w:ind w:left="0" w:leftChars="0" w:firstLine="516" w:firstLineChars="200"/>
        <w:jc w:val="right"/>
        <w:rPr>
          <w:rFonts w:hint="eastAsia" w:ascii="宋体" w:hAnsi="宋体" w:eastAsia="宋体" w:cs="宋体"/>
          <w:b w:val="0"/>
          <w:bCs w:val="0"/>
          <w:spacing w:val="9"/>
          <w:sz w:val="24"/>
          <w:szCs w:val="24"/>
          <w:lang w:val="en-US" w:eastAsia="zh-CN"/>
        </w:rPr>
      </w:pPr>
      <w:r>
        <w:rPr>
          <w:rFonts w:hint="eastAsia" w:ascii="宋体" w:hAnsi="宋体" w:eastAsia="宋体" w:cs="宋体"/>
          <w:b w:val="0"/>
          <w:bCs w:val="0"/>
          <w:spacing w:val="9"/>
          <w:sz w:val="24"/>
          <w:szCs w:val="24"/>
          <w:lang w:val="en-US" w:eastAsia="zh-CN"/>
        </w:rPr>
        <w:t>确山县清源污水处理有限公司</w:t>
      </w:r>
    </w:p>
    <w:p>
      <w:pPr>
        <w:keepNext w:val="0"/>
        <w:keepLines w:val="0"/>
        <w:pageBreakBefore w:val="0"/>
        <w:kinsoku/>
        <w:overflowPunct/>
        <w:topLinePunct w:val="0"/>
        <w:autoSpaceDE/>
        <w:autoSpaceDN/>
        <w:bidi w:val="0"/>
        <w:adjustRightInd/>
        <w:spacing w:beforeAutospacing="0" w:afterAutospacing="0" w:line="500" w:lineRule="exact"/>
        <w:ind w:left="0" w:leftChars="0" w:firstLine="516" w:firstLineChars="200"/>
        <w:jc w:val="center"/>
        <w:rPr>
          <w:rFonts w:hint="eastAsia" w:ascii="宋体" w:hAnsi="宋体" w:eastAsia="宋体" w:cs="宋体"/>
          <w:b w:val="0"/>
          <w:bCs w:val="0"/>
          <w:spacing w:val="9"/>
          <w:sz w:val="24"/>
          <w:szCs w:val="24"/>
          <w:lang w:val="en-US" w:eastAsia="zh-CN"/>
        </w:rPr>
      </w:pPr>
      <w:r>
        <w:rPr>
          <w:rFonts w:hint="eastAsia" w:ascii="宋体" w:hAnsi="宋体" w:cs="宋体"/>
          <w:b w:val="0"/>
          <w:bCs w:val="0"/>
          <w:spacing w:val="9"/>
          <w:sz w:val="24"/>
          <w:szCs w:val="24"/>
          <w:lang w:val="en-US" w:eastAsia="zh-CN"/>
        </w:rPr>
        <w:t xml:space="preserve">                                      </w:t>
      </w:r>
      <w:r>
        <w:rPr>
          <w:rFonts w:hint="eastAsia" w:ascii="宋体" w:hAnsi="宋体" w:eastAsia="宋体" w:cs="宋体"/>
          <w:b w:val="0"/>
          <w:bCs w:val="0"/>
          <w:spacing w:val="9"/>
          <w:sz w:val="24"/>
          <w:szCs w:val="24"/>
          <w:lang w:val="en-US" w:eastAsia="zh-CN"/>
        </w:rPr>
        <w:t>2024年5月</w:t>
      </w:r>
    </w:p>
    <w:p>
      <w:pPr>
        <w:keepNext w:val="0"/>
        <w:keepLines w:val="0"/>
        <w:pageBreakBefore w:val="0"/>
        <w:kinsoku/>
        <w:overflowPunct/>
        <w:topLinePunct w:val="0"/>
        <w:autoSpaceDE/>
        <w:autoSpaceDN/>
        <w:bidi w:val="0"/>
        <w:adjustRightInd/>
        <w:spacing w:beforeAutospacing="0" w:afterAutospacing="0" w:line="500" w:lineRule="exact"/>
        <w:ind w:left="0" w:leftChars="0" w:firstLine="420" w:firstLineChars="200"/>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yZDM1YTg0MWZjYjcwZDIxYjdkYTY5YTJkMjhkYzUifQ=="/>
  </w:docVars>
  <w:rsids>
    <w:rsidRoot w:val="74F74D1B"/>
    <w:rsid w:val="0C7B59AE"/>
    <w:rsid w:val="385E1A7F"/>
    <w:rsid w:val="73F76F74"/>
    <w:rsid w:val="74F74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rPr>
      <w:rFonts w:cs="Times New Roman"/>
    </w:rPr>
  </w:style>
  <w:style w:type="paragraph" w:customStyle="1" w:styleId="3">
    <w:name w:val="style4"/>
    <w:basedOn w:val="4"/>
    <w:next w:val="6"/>
    <w:qFormat/>
    <w:uiPriority w:val="0"/>
    <w:pPr>
      <w:widowControl/>
      <w:spacing w:before="280" w:after="280"/>
    </w:pPr>
    <w:rPr>
      <w:rFonts w:ascii="宋体"/>
      <w:sz w:val="18"/>
    </w:rPr>
  </w:style>
  <w:style w:type="paragraph" w:customStyle="1" w:styleId="4">
    <w:name w:val="正文_0"/>
    <w:next w:val="5"/>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Body Text First Indent"/>
    <w:basedOn w:val="2"/>
    <w:next w:val="1"/>
    <w:qFormat/>
    <w:uiPriority w:val="99"/>
    <w:pPr>
      <w:ind w:firstLine="420" w:firstLineChars="100"/>
    </w:pPr>
  </w:style>
  <w:style w:type="paragraph" w:customStyle="1" w:styleId="6">
    <w:name w:val="2"/>
    <w:next w:val="1"/>
    <w:autoRedefine/>
    <w:qFormat/>
    <w:uiPriority w:val="0"/>
    <w:pPr>
      <w:widowControl w:val="0"/>
      <w:jc w:val="both"/>
    </w:pPr>
    <w:rPr>
      <w:rFonts w:ascii="Calibri" w:hAnsi="Calibri" w:eastAsia="宋体" w:cs="Times New Roman"/>
      <w:sz w:val="21"/>
      <w:szCs w:val="22"/>
      <w:lang w:val="en-US" w:eastAsia="zh-CN" w:bidi="ar-SA"/>
    </w:rPr>
  </w:style>
  <w:style w:type="paragraph" w:styleId="7">
    <w:name w:val="Body Text Indent"/>
    <w:basedOn w:val="1"/>
    <w:next w:val="8"/>
    <w:qFormat/>
    <w:uiPriority w:val="0"/>
    <w:pPr>
      <w:widowControl/>
      <w:spacing w:before="100" w:beforeAutospacing="1" w:after="100" w:afterAutospacing="1"/>
      <w:jc w:val="left"/>
    </w:pPr>
    <w:rPr>
      <w:rFonts w:ascii="宋体" w:hAnsi="宋体" w:cs="宋体"/>
      <w:kern w:val="0"/>
      <w:sz w:val="24"/>
    </w:rPr>
  </w:style>
  <w:style w:type="paragraph" w:customStyle="1" w:styleId="8">
    <w:name w:val="目录 51"/>
    <w:next w:val="1"/>
    <w:qFormat/>
    <w:uiPriority w:val="0"/>
    <w:pPr>
      <w:wordWrap w:val="0"/>
      <w:ind w:left="1700"/>
      <w:jc w:val="both"/>
    </w:pPr>
    <w:rPr>
      <w:rFonts w:ascii="Calibri" w:hAnsi="Calibri" w:eastAsia="Calibri" w:cs="宋体"/>
      <w:sz w:val="21"/>
      <w:szCs w:val="22"/>
      <w:lang w:val="en-US" w:eastAsia="zh-CN"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Body Text First Indent 2"/>
    <w:basedOn w:val="7"/>
    <w:next w:val="1"/>
    <w:qFormat/>
    <w:uiPriority w:val="99"/>
    <w:pPr>
      <w:ind w:firstLine="420" w:firstLineChars="200"/>
    </w:pPr>
  </w:style>
  <w:style w:type="paragraph" w:customStyle="1" w:styleId="14">
    <w:name w:val="Default"/>
    <w:next w:val="15"/>
    <w:autoRedefine/>
    <w:qFormat/>
    <w:uiPriority w:val="99"/>
    <w:pPr>
      <w:widowControl w:val="0"/>
    </w:pPr>
    <w:rPr>
      <w:rFonts w:ascii="宋体" w:hAnsi="宋体" w:eastAsia="宋体" w:cs="宋体"/>
      <w:color w:val="000000"/>
      <w:sz w:val="24"/>
      <w:szCs w:val="24"/>
      <w:lang w:val="en-US" w:eastAsia="zh-CN" w:bidi="ar-SA"/>
    </w:rPr>
  </w:style>
  <w:style w:type="paragraph" w:customStyle="1" w:styleId="15">
    <w:name w:val="表格文字"/>
    <w:basedOn w:val="1"/>
    <w:next w:val="2"/>
    <w:autoRedefine/>
    <w:qFormat/>
    <w:uiPriority w:val="0"/>
    <w:pPr>
      <w:adjustRightInd w:val="0"/>
      <w:spacing w:line="420" w:lineRule="atLeast"/>
      <w:jc w:val="left"/>
      <w:textAlignment w:val="baseline"/>
    </w:pPr>
    <w:rPr>
      <w:kern w:val="0"/>
    </w:rPr>
  </w:style>
  <w:style w:type="paragraph" w:customStyle="1" w:styleId="16">
    <w:name w:val="样式 正文首行缩进 2 + Arial"/>
    <w:basedOn w:val="1"/>
    <w:next w:val="1"/>
    <w:uiPriority w:val="0"/>
    <w:pPr>
      <w:spacing w:after="120" w:line="320" w:lineRule="atLeast"/>
      <w:ind w:firstLine="200" w:firstLineChars="200"/>
    </w:pPr>
    <w:rPr>
      <w:rFonts w:ascii="Arial" w:hAnsi="Arial"/>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1068</Words>
  <Characters>1212</Characters>
  <Lines>0</Lines>
  <Paragraphs>0</Paragraphs>
  <TotalTime>6</TotalTime>
  <ScaleCrop>false</ScaleCrop>
  <LinksUpToDate>false</LinksUpToDate>
  <CharactersWithSpaces>1245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2024-05-21T23:45:00Z</dcterms:created>
  <dc:creator>Admin</dc:creator>
  <cp:lastModifiedBy>山中居士(杨连会)</cp:lastModifiedBy>
  <dcterms:modified xsi:type="dcterms:W3CDTF">2024-05-22T00:47:20Z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157E2A485E8D4FF1999C27C7CDBE03B1_13</vt:lpwstr>
  </property>
</Properties>
</file>